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D3C" w:rsidRPr="00BA69E5" w:rsidRDefault="00963D3C" w:rsidP="00963D3C">
      <w:pPr>
        <w:spacing w:after="0"/>
        <w:ind w:right="12"/>
        <w:rPr>
          <w:rFonts w:ascii="Bahnschrift" w:hAnsi="Bahnschrift"/>
          <w:sz w:val="48"/>
          <w:szCs w:val="48"/>
          <w:lang w:val="pt-PT"/>
        </w:rPr>
      </w:pPr>
      <w:r w:rsidRPr="00BA69E5">
        <w:rPr>
          <w:rFonts w:ascii="Bahnschrift" w:eastAsia="Roboto" w:hAnsi="Bahnschrift" w:cs="Roboto"/>
          <w:b/>
          <w:color w:val="C45911"/>
          <w:sz w:val="48"/>
          <w:szCs w:val="48"/>
          <w:lang w:val="pt-PT"/>
        </w:rPr>
        <w:t>Resultados AdC 20</w:t>
      </w:r>
      <w:r>
        <w:rPr>
          <w:rFonts w:ascii="Bahnschrift" w:eastAsia="Roboto" w:hAnsi="Bahnschrift" w:cs="Roboto"/>
          <w:b/>
          <w:color w:val="C45911"/>
          <w:sz w:val="48"/>
          <w:szCs w:val="48"/>
          <w:lang w:val="pt-PT"/>
        </w:rPr>
        <w:t>21</w:t>
      </w:r>
      <w:r w:rsidRPr="00BA69E5">
        <w:rPr>
          <w:rFonts w:ascii="Bahnschrift" w:eastAsia="Roboto" w:hAnsi="Bahnschrift" w:cs="Roboto"/>
          <w:b/>
          <w:color w:val="C45911"/>
          <w:sz w:val="48"/>
          <w:szCs w:val="48"/>
          <w:lang w:val="pt-PT"/>
        </w:rPr>
        <w:t xml:space="preserve"> </w:t>
      </w:r>
    </w:p>
    <w:p w:rsidR="00963D3C" w:rsidRPr="00BA69E5" w:rsidRDefault="00963D3C" w:rsidP="00963D3C">
      <w:pPr>
        <w:tabs>
          <w:tab w:val="left" w:pos="693"/>
        </w:tabs>
        <w:spacing w:after="147"/>
        <w:rPr>
          <w:rFonts w:ascii="Bahnschrift" w:hAnsi="Bahnschrift"/>
          <w:lang w:val="pt-PT"/>
        </w:rPr>
      </w:pPr>
      <w:r w:rsidRPr="00BA69E5">
        <w:rPr>
          <w:rFonts w:ascii="Bahnschrift" w:eastAsia="Roboto" w:hAnsi="Bahnschrift" w:cs="Roboto"/>
          <w:b/>
          <w:color w:val="1F4E79"/>
          <w:sz w:val="28"/>
          <w:lang w:val="pt-PT"/>
        </w:rPr>
        <w:t xml:space="preserve"> </w:t>
      </w:r>
      <w:r>
        <w:rPr>
          <w:rFonts w:ascii="Bahnschrift" w:eastAsia="Roboto" w:hAnsi="Bahnschrift" w:cs="Roboto"/>
          <w:b/>
          <w:color w:val="1F4E79"/>
          <w:sz w:val="28"/>
          <w:lang w:val="pt-PT"/>
        </w:rPr>
        <w:tab/>
      </w:r>
    </w:p>
    <w:p w:rsidR="00963D3C" w:rsidRPr="00BA69E5" w:rsidRDefault="00963D3C" w:rsidP="00963D3C">
      <w:pPr>
        <w:pStyle w:val="Cabealho1"/>
        <w:ind w:left="0"/>
        <w:rPr>
          <w:rFonts w:ascii="Bahnschrift" w:hAnsi="Bahnschrift"/>
        </w:rPr>
      </w:pPr>
      <w:r w:rsidRPr="00BA69E5">
        <w:rPr>
          <w:rFonts w:ascii="Bahnschrift" w:hAnsi="Bahnschrift"/>
        </w:rPr>
        <w:t>Defesa da Concorrência</w:t>
      </w:r>
    </w:p>
    <w:p w:rsidR="00963D3C" w:rsidRDefault="00963D3C" w:rsidP="00963D3C">
      <w:pPr>
        <w:spacing w:before="240" w:line="252" w:lineRule="auto"/>
        <w:ind w:hanging="10"/>
        <w:jc w:val="both"/>
        <w:rPr>
          <w:rFonts w:ascii="Bahnschrift" w:eastAsia="Roboto" w:hAnsi="Bahnschrift" w:cs="Roboto"/>
          <w:lang w:val="pt-PT"/>
        </w:rPr>
      </w:pPr>
      <w:r w:rsidRPr="004767FB">
        <w:rPr>
          <w:rFonts w:ascii="Bahnschrift" w:eastAsia="Roboto" w:hAnsi="Bahnschrift" w:cs="Roboto"/>
          <w:lang w:val="pt-PT"/>
        </w:rPr>
        <w:t>Em 20</w:t>
      </w:r>
      <w:r>
        <w:rPr>
          <w:rFonts w:ascii="Bahnschrift" w:eastAsia="Roboto" w:hAnsi="Bahnschrift" w:cs="Roboto"/>
          <w:lang w:val="pt-PT"/>
        </w:rPr>
        <w:t>21, a</w:t>
      </w:r>
      <w:r w:rsidRPr="004767FB">
        <w:rPr>
          <w:rFonts w:ascii="Bahnschrift" w:eastAsia="Roboto" w:hAnsi="Bahnschrift" w:cs="Roboto"/>
          <w:lang w:val="pt-PT"/>
        </w:rPr>
        <w:t xml:space="preserve"> AdC aplicou coimas no valor de </w:t>
      </w:r>
      <w:r w:rsidRPr="004767FB">
        <w:rPr>
          <w:rFonts w:ascii="Bahnschrift" w:eastAsia="Roboto" w:hAnsi="Bahnschrift" w:cs="Roboto"/>
          <w:b/>
          <w:lang w:val="pt-PT"/>
        </w:rPr>
        <w:t>€</w:t>
      </w:r>
      <w:r w:rsidR="00EE428B">
        <w:rPr>
          <w:rFonts w:ascii="Bahnschrift" w:eastAsia="Roboto" w:hAnsi="Bahnschrift" w:cs="Roboto"/>
          <w:b/>
          <w:lang w:val="pt-PT"/>
        </w:rPr>
        <w:t xml:space="preserve">96 </w:t>
      </w:r>
      <w:r w:rsidRPr="004767FB">
        <w:rPr>
          <w:rFonts w:ascii="Bahnschrift" w:eastAsia="Roboto" w:hAnsi="Bahnschrift" w:cs="Roboto"/>
          <w:b/>
          <w:lang w:val="pt-PT"/>
        </w:rPr>
        <w:t>milh</w:t>
      </w:r>
      <w:r>
        <w:rPr>
          <w:rFonts w:ascii="Bahnschrift" w:eastAsia="Roboto" w:hAnsi="Bahnschrift" w:cs="Roboto"/>
          <w:b/>
          <w:lang w:val="pt-PT"/>
        </w:rPr>
        <w:t>ões de euros</w:t>
      </w:r>
      <w:r w:rsidRPr="004767FB">
        <w:rPr>
          <w:rFonts w:ascii="Bahnschrift" w:eastAsia="Roboto" w:hAnsi="Bahnschrift" w:cs="Roboto"/>
          <w:b/>
          <w:lang w:val="pt-PT"/>
        </w:rPr>
        <w:t xml:space="preserve"> </w:t>
      </w:r>
      <w:r w:rsidRPr="004767FB">
        <w:rPr>
          <w:rFonts w:ascii="Bahnschrift" w:eastAsia="Roboto" w:hAnsi="Bahnschrift" w:cs="Roboto"/>
          <w:lang w:val="pt-PT"/>
        </w:rPr>
        <w:t xml:space="preserve">em </w:t>
      </w:r>
      <w:r w:rsidR="006A1E2A">
        <w:rPr>
          <w:rFonts w:ascii="Bahnschrift" w:eastAsia="Roboto" w:hAnsi="Bahnschrift" w:cs="Roboto"/>
          <w:b/>
          <w:lang w:val="pt-PT"/>
        </w:rPr>
        <w:t>seis</w:t>
      </w:r>
      <w:r w:rsidRPr="004767FB">
        <w:rPr>
          <w:rFonts w:ascii="Bahnschrift" w:eastAsia="Roboto" w:hAnsi="Bahnschrift" w:cs="Roboto"/>
          <w:b/>
          <w:lang w:val="pt-PT"/>
        </w:rPr>
        <w:t xml:space="preserve"> decisões condenatórias</w:t>
      </w:r>
      <w:r>
        <w:rPr>
          <w:rFonts w:ascii="Bahnschrift" w:eastAsia="Roboto" w:hAnsi="Bahnschrift" w:cs="Roboto"/>
          <w:b/>
          <w:lang w:val="pt-PT"/>
        </w:rPr>
        <w:t xml:space="preserve">, </w:t>
      </w:r>
      <w:r w:rsidRPr="00C608FA">
        <w:rPr>
          <w:rFonts w:ascii="Bahnschrift" w:eastAsia="Roboto" w:hAnsi="Bahnschrift" w:cs="Roboto"/>
          <w:lang w:val="pt-PT"/>
        </w:rPr>
        <w:t xml:space="preserve">relativas </w:t>
      </w:r>
      <w:r w:rsidR="00B9769E">
        <w:rPr>
          <w:rFonts w:ascii="Bahnschrift" w:eastAsia="Roboto" w:hAnsi="Bahnschrift" w:cs="Roboto"/>
          <w:lang w:val="pt-PT"/>
        </w:rPr>
        <w:t>a</w:t>
      </w:r>
      <w:r>
        <w:rPr>
          <w:rFonts w:ascii="Bahnschrift" w:eastAsia="Roboto" w:hAnsi="Bahnschrift" w:cs="Roboto"/>
          <w:lang w:val="pt-PT"/>
        </w:rPr>
        <w:t xml:space="preserve"> </w:t>
      </w:r>
      <w:proofErr w:type="spellStart"/>
      <w:r w:rsidR="007475A3" w:rsidRPr="007475A3">
        <w:rPr>
          <w:rFonts w:ascii="Bahnschrift" w:eastAsia="Roboto" w:hAnsi="Bahnschrift" w:cs="Roboto"/>
          <w:i/>
          <w:lang w:val="pt-PT"/>
        </w:rPr>
        <w:t>hub-and-spoke</w:t>
      </w:r>
      <w:proofErr w:type="spellEnd"/>
      <w:r w:rsidR="007475A3">
        <w:rPr>
          <w:rFonts w:ascii="Bahnschrift" w:eastAsia="Roboto" w:hAnsi="Bahnschrift" w:cs="Roboto"/>
          <w:lang w:val="pt-PT"/>
        </w:rPr>
        <w:t xml:space="preserve">, </w:t>
      </w:r>
      <w:r w:rsidR="002A0D98">
        <w:rPr>
          <w:rFonts w:ascii="Bahnschrift" w:eastAsia="Roboto" w:hAnsi="Bahnschrift" w:cs="Roboto"/>
          <w:lang w:val="pt-PT"/>
        </w:rPr>
        <w:t xml:space="preserve">cartéis e </w:t>
      </w:r>
      <w:proofErr w:type="spellStart"/>
      <w:r w:rsidR="002A0D98" w:rsidRPr="002A0D98">
        <w:rPr>
          <w:rFonts w:ascii="Bahnschrift" w:eastAsia="Roboto" w:hAnsi="Bahnschrift" w:cs="Roboto"/>
          <w:i/>
          <w:lang w:val="pt-PT"/>
        </w:rPr>
        <w:t>gun-jumping</w:t>
      </w:r>
      <w:proofErr w:type="spellEnd"/>
      <w:r w:rsidR="002A0D98" w:rsidRPr="002A0D98">
        <w:rPr>
          <w:rFonts w:ascii="Bahnschrift" w:eastAsia="Roboto" w:hAnsi="Bahnschrift" w:cs="Roboto"/>
          <w:lang w:val="pt-PT"/>
        </w:rPr>
        <w:t>, em sectores c</w:t>
      </w:r>
      <w:r w:rsidR="00B9769E">
        <w:rPr>
          <w:rFonts w:ascii="Bahnschrift" w:eastAsia="Roboto" w:hAnsi="Bahnschrift" w:cs="Roboto"/>
          <w:lang w:val="pt-PT"/>
        </w:rPr>
        <w:t>omo a saúde e contratos públicos.</w:t>
      </w:r>
    </w:p>
    <w:p w:rsidR="00963D3C" w:rsidRPr="008A7131" w:rsidRDefault="00963D3C" w:rsidP="00963D3C">
      <w:pPr>
        <w:pStyle w:val="Cabealho2"/>
        <w:spacing w:before="240" w:after="163"/>
        <w:ind w:left="0" w:firstLine="0"/>
        <w:rPr>
          <w:rFonts w:ascii="Bahnschrift" w:hAnsi="Bahnschrift"/>
          <w:b w:val="0"/>
          <w:sz w:val="20"/>
          <w:szCs w:val="21"/>
        </w:rPr>
      </w:pPr>
      <w:r w:rsidRPr="008A7131">
        <w:rPr>
          <w:rFonts w:ascii="Bahnschrift" w:hAnsi="Bahnschrift"/>
          <w:sz w:val="20"/>
          <w:szCs w:val="21"/>
        </w:rPr>
        <w:t>Investigação e sanção de práticas anticoncorrenciais</w:t>
      </w:r>
      <w:r w:rsidRPr="008A7131">
        <w:rPr>
          <w:rFonts w:ascii="Bahnschrift" w:hAnsi="Bahnschrift"/>
          <w:b w:val="0"/>
          <w:sz w:val="20"/>
          <w:szCs w:val="21"/>
        </w:rPr>
        <w:t xml:space="preserve"> </w:t>
      </w:r>
    </w:p>
    <w:p w:rsidR="00963D3C" w:rsidRPr="00C42352" w:rsidRDefault="00963D3C" w:rsidP="00963D3C">
      <w:pPr>
        <w:pStyle w:val="PargrafodaLista"/>
        <w:numPr>
          <w:ilvl w:val="0"/>
          <w:numId w:val="10"/>
        </w:numPr>
        <w:rPr>
          <w:rFonts w:ascii="Bahnschrift" w:hAnsi="Bahnschrift"/>
          <w:b/>
          <w:szCs w:val="21"/>
          <w:lang w:val="pt-PT"/>
        </w:rPr>
      </w:pPr>
      <w:r w:rsidRPr="00C42352">
        <w:rPr>
          <w:rFonts w:ascii="Bahnschrift" w:hAnsi="Bahnschrift"/>
          <w:b/>
          <w:szCs w:val="21"/>
          <w:lang w:val="pt-PT"/>
        </w:rPr>
        <w:t>6 decisões de condenaç</w:t>
      </w:r>
      <w:r w:rsidR="00C42352" w:rsidRPr="00C42352">
        <w:rPr>
          <w:rFonts w:ascii="Bahnschrift" w:hAnsi="Bahnschrift"/>
          <w:b/>
          <w:szCs w:val="21"/>
          <w:lang w:val="pt-PT"/>
        </w:rPr>
        <w:t>ão:</w:t>
      </w:r>
    </w:p>
    <w:p w:rsidR="00963D3C" w:rsidRDefault="00963D3C" w:rsidP="00963D3C">
      <w:pPr>
        <w:pStyle w:val="PargrafodaLista"/>
        <w:numPr>
          <w:ilvl w:val="1"/>
          <w:numId w:val="10"/>
        </w:numPr>
        <w:rPr>
          <w:rFonts w:ascii="Bahnschrift" w:hAnsi="Bahnschrift"/>
          <w:szCs w:val="21"/>
          <w:lang w:val="pt-PT"/>
        </w:rPr>
      </w:pPr>
      <w:r w:rsidRPr="00963D3C">
        <w:rPr>
          <w:rFonts w:ascii="Bahnschrift" w:hAnsi="Bahnschrift"/>
          <w:szCs w:val="21"/>
          <w:lang w:val="pt-PT"/>
        </w:rPr>
        <w:t xml:space="preserve">Associação Nacional de Topógrafos Fundiários (ANT) sancionada com </w:t>
      </w:r>
      <w:r>
        <w:rPr>
          <w:rFonts w:ascii="Bahnschrift" w:hAnsi="Bahnschrift"/>
          <w:szCs w:val="21"/>
          <w:lang w:val="pt-PT"/>
        </w:rPr>
        <w:t>€</w:t>
      </w:r>
      <w:r w:rsidRPr="00963D3C">
        <w:rPr>
          <w:rFonts w:ascii="Bahnschrift" w:hAnsi="Bahnschrift"/>
          <w:b/>
          <w:szCs w:val="21"/>
          <w:lang w:val="pt-PT"/>
        </w:rPr>
        <w:t>50.000</w:t>
      </w:r>
      <w:r w:rsidRPr="00963D3C">
        <w:rPr>
          <w:rFonts w:ascii="Bahnschrift" w:hAnsi="Bahnschrift"/>
          <w:szCs w:val="21"/>
          <w:lang w:val="pt-PT"/>
        </w:rPr>
        <w:t xml:space="preserve"> por restringir a concorrência no mercado dos serviços de levantamento topográfico, </w:t>
      </w:r>
      <w:r w:rsidRPr="00963D3C">
        <w:rPr>
          <w:rFonts w:ascii="Bahnschrift" w:hAnsi="Bahnschrift"/>
          <w:b/>
          <w:szCs w:val="21"/>
          <w:lang w:val="pt-PT"/>
        </w:rPr>
        <w:t>fixando preços</w:t>
      </w:r>
      <w:r w:rsidRPr="00963D3C">
        <w:rPr>
          <w:rFonts w:ascii="Bahnschrift" w:hAnsi="Bahnschrift"/>
          <w:szCs w:val="21"/>
          <w:lang w:val="pt-PT"/>
        </w:rPr>
        <w:t xml:space="preserve"> para estes serviços.</w:t>
      </w:r>
    </w:p>
    <w:p w:rsidR="00963D3C" w:rsidRPr="00963D3C" w:rsidRDefault="00963D3C" w:rsidP="00963D3C">
      <w:pPr>
        <w:pStyle w:val="PargrafodaLista"/>
        <w:numPr>
          <w:ilvl w:val="1"/>
          <w:numId w:val="10"/>
        </w:numPr>
        <w:rPr>
          <w:rFonts w:ascii="Bahnschrift" w:hAnsi="Bahnschrift"/>
          <w:szCs w:val="21"/>
          <w:lang w:val="pt-PT"/>
        </w:rPr>
      </w:pPr>
      <w:proofErr w:type="spellStart"/>
      <w:r w:rsidRPr="00963D3C">
        <w:rPr>
          <w:rFonts w:ascii="Bahnschrift" w:hAnsi="Bahnschrift"/>
          <w:szCs w:val="21"/>
          <w:lang w:val="pt-PT"/>
        </w:rPr>
        <w:t>Natus</w:t>
      </w:r>
      <w:proofErr w:type="spellEnd"/>
      <w:r w:rsidRPr="00963D3C">
        <w:rPr>
          <w:rFonts w:ascii="Bahnschrift" w:hAnsi="Bahnschrift"/>
          <w:szCs w:val="21"/>
          <w:lang w:val="pt-PT"/>
        </w:rPr>
        <w:t xml:space="preserve"> Medical </w:t>
      </w:r>
      <w:proofErr w:type="spellStart"/>
      <w:r w:rsidRPr="00963D3C">
        <w:rPr>
          <w:rFonts w:ascii="Bahnschrift" w:hAnsi="Bahnschrift"/>
          <w:szCs w:val="21"/>
          <w:lang w:val="pt-PT"/>
        </w:rPr>
        <w:t>Incorporated</w:t>
      </w:r>
      <w:proofErr w:type="spellEnd"/>
      <w:r w:rsidRPr="00963D3C">
        <w:rPr>
          <w:rFonts w:ascii="Bahnschrift" w:hAnsi="Bahnschrift"/>
          <w:szCs w:val="21"/>
          <w:lang w:val="pt-PT"/>
        </w:rPr>
        <w:t xml:space="preserve"> multada com </w:t>
      </w:r>
      <w:r w:rsidRPr="00963D3C">
        <w:rPr>
          <w:rFonts w:ascii="Bahnschrift" w:hAnsi="Bahnschrift"/>
          <w:b/>
          <w:szCs w:val="21"/>
          <w:lang w:val="pt-PT"/>
        </w:rPr>
        <w:t>€100.000</w:t>
      </w:r>
      <w:r w:rsidRPr="00963D3C">
        <w:rPr>
          <w:rFonts w:ascii="Bahnschrift" w:hAnsi="Bahnschrift"/>
          <w:szCs w:val="21"/>
          <w:lang w:val="pt-PT"/>
        </w:rPr>
        <w:t xml:space="preserve"> por restringir a concorrência na distribuição de </w:t>
      </w:r>
      <w:r w:rsidRPr="00963D3C">
        <w:rPr>
          <w:rFonts w:ascii="Bahnschrift" w:hAnsi="Bahnschrift"/>
          <w:b/>
          <w:szCs w:val="21"/>
          <w:lang w:val="pt-PT"/>
        </w:rPr>
        <w:t>dispositivos médicos essenciais</w:t>
      </w:r>
      <w:r w:rsidRPr="00963D3C">
        <w:rPr>
          <w:rFonts w:ascii="Bahnschrift" w:hAnsi="Bahnschrift"/>
          <w:szCs w:val="21"/>
          <w:lang w:val="pt-PT"/>
        </w:rPr>
        <w:t xml:space="preserve"> no mercado português.</w:t>
      </w:r>
    </w:p>
    <w:p w:rsidR="00963D3C" w:rsidRPr="00963D3C" w:rsidRDefault="00963D3C" w:rsidP="00963D3C">
      <w:pPr>
        <w:pStyle w:val="PargrafodaLista"/>
        <w:numPr>
          <w:ilvl w:val="1"/>
          <w:numId w:val="10"/>
        </w:numPr>
        <w:rPr>
          <w:rFonts w:ascii="Bahnschrift" w:hAnsi="Bahnschrift"/>
          <w:szCs w:val="21"/>
          <w:lang w:val="pt-PT"/>
        </w:rPr>
      </w:pPr>
      <w:proofErr w:type="spellStart"/>
      <w:r w:rsidRPr="00963D3C">
        <w:rPr>
          <w:rFonts w:ascii="Bahnschrift" w:hAnsi="Bahnschrift"/>
          <w:szCs w:val="21"/>
          <w:lang w:val="pt-PT"/>
        </w:rPr>
        <w:t>Blueotter</w:t>
      </w:r>
      <w:proofErr w:type="spellEnd"/>
      <w:r w:rsidRPr="00963D3C">
        <w:rPr>
          <w:rFonts w:ascii="Bahnschrift" w:hAnsi="Bahnschrift"/>
          <w:szCs w:val="21"/>
          <w:lang w:val="pt-PT"/>
        </w:rPr>
        <w:t xml:space="preserve"> e EGEO sancionadas com uma multa de </w:t>
      </w:r>
      <w:r w:rsidRPr="00963D3C">
        <w:rPr>
          <w:rFonts w:ascii="Bahnschrift" w:hAnsi="Bahnschrift"/>
          <w:b/>
          <w:szCs w:val="21"/>
          <w:lang w:val="pt-PT"/>
        </w:rPr>
        <w:t>€2,9 milhões</w:t>
      </w:r>
      <w:r>
        <w:rPr>
          <w:rFonts w:ascii="Bahnschrift" w:hAnsi="Bahnschrift"/>
          <w:szCs w:val="21"/>
          <w:lang w:val="pt-PT"/>
        </w:rPr>
        <w:t xml:space="preserve"> </w:t>
      </w:r>
      <w:r w:rsidRPr="00963D3C">
        <w:rPr>
          <w:rFonts w:ascii="Bahnschrift" w:hAnsi="Bahnschrift"/>
          <w:szCs w:val="21"/>
          <w:lang w:val="pt-PT"/>
        </w:rPr>
        <w:t xml:space="preserve">pela implementação de um acordo de não concorrência no mercado da prestação de serviços aos </w:t>
      </w:r>
      <w:r w:rsidRPr="00963D3C">
        <w:rPr>
          <w:rFonts w:ascii="Bahnschrift" w:hAnsi="Bahnschrift"/>
          <w:b/>
          <w:szCs w:val="21"/>
          <w:lang w:val="pt-PT"/>
        </w:rPr>
        <w:t>sistemas de gestão de resíduos</w:t>
      </w:r>
      <w:r w:rsidRPr="00963D3C">
        <w:rPr>
          <w:rFonts w:ascii="Bahnschrift" w:hAnsi="Bahnschrift"/>
          <w:szCs w:val="21"/>
          <w:lang w:val="pt-PT"/>
        </w:rPr>
        <w:t xml:space="preserve"> em Portugal.</w:t>
      </w:r>
    </w:p>
    <w:p w:rsidR="00963D3C" w:rsidRDefault="00963D3C" w:rsidP="00963D3C">
      <w:pPr>
        <w:pStyle w:val="PargrafodaLista"/>
        <w:numPr>
          <w:ilvl w:val="1"/>
          <w:numId w:val="10"/>
        </w:numPr>
        <w:rPr>
          <w:rFonts w:ascii="Bahnschrift" w:hAnsi="Bahnschrift"/>
          <w:szCs w:val="21"/>
          <w:lang w:val="pt-PT"/>
        </w:rPr>
      </w:pPr>
      <w:r w:rsidRPr="00963D3C">
        <w:rPr>
          <w:rFonts w:ascii="Bahnschrift" w:hAnsi="Bahnschrift"/>
          <w:szCs w:val="21"/>
          <w:lang w:val="pt-PT"/>
        </w:rPr>
        <w:t xml:space="preserve">Em 2021, foram emitidas 3 decisões sancionatórias por </w:t>
      </w:r>
      <w:proofErr w:type="spellStart"/>
      <w:r w:rsidRPr="00963D3C">
        <w:rPr>
          <w:rFonts w:ascii="Bahnschrift" w:hAnsi="Bahnschrift"/>
          <w:b/>
          <w:szCs w:val="21"/>
          <w:lang w:val="pt-PT"/>
        </w:rPr>
        <w:t>gun-jumping</w:t>
      </w:r>
      <w:proofErr w:type="spellEnd"/>
      <w:r w:rsidRPr="00963D3C">
        <w:rPr>
          <w:rFonts w:ascii="Bahnschrift" w:hAnsi="Bahnschrift"/>
          <w:szCs w:val="21"/>
          <w:lang w:val="pt-PT"/>
        </w:rPr>
        <w:t xml:space="preserve">, levando a multas totais de </w:t>
      </w:r>
      <w:r w:rsidRPr="00963D3C">
        <w:rPr>
          <w:rFonts w:ascii="Bahnschrift" w:hAnsi="Bahnschrift"/>
          <w:b/>
          <w:szCs w:val="21"/>
          <w:lang w:val="pt-PT"/>
        </w:rPr>
        <w:t>€395.000</w:t>
      </w:r>
      <w:r w:rsidRPr="00963D3C">
        <w:rPr>
          <w:rFonts w:ascii="Bahnschrift" w:hAnsi="Bahnschrift"/>
          <w:szCs w:val="21"/>
          <w:lang w:val="pt-PT"/>
        </w:rPr>
        <w:t xml:space="preserve"> impostas à Fidelidade - Sociedade Gestora de Organismos de Investimento Coletivo, S.A., SFI </w:t>
      </w:r>
      <w:proofErr w:type="spellStart"/>
      <w:r w:rsidRPr="00963D3C">
        <w:rPr>
          <w:rFonts w:ascii="Bahnschrift" w:hAnsi="Bahnschrift"/>
          <w:szCs w:val="21"/>
          <w:lang w:val="pt-PT"/>
        </w:rPr>
        <w:t>Group</w:t>
      </w:r>
      <w:proofErr w:type="spellEnd"/>
      <w:r w:rsidRPr="00963D3C">
        <w:rPr>
          <w:rFonts w:ascii="Bahnschrift" w:hAnsi="Bahnschrift"/>
          <w:szCs w:val="21"/>
          <w:lang w:val="pt-PT"/>
        </w:rPr>
        <w:t xml:space="preserve"> </w:t>
      </w:r>
      <w:proofErr w:type="spellStart"/>
      <w:r w:rsidRPr="00963D3C">
        <w:rPr>
          <w:rFonts w:ascii="Bahnschrift" w:hAnsi="Bahnschrift"/>
          <w:szCs w:val="21"/>
          <w:lang w:val="pt-PT"/>
        </w:rPr>
        <w:t>Gestión</w:t>
      </w:r>
      <w:proofErr w:type="spellEnd"/>
      <w:r w:rsidRPr="00963D3C">
        <w:rPr>
          <w:rFonts w:ascii="Bahnschrift" w:hAnsi="Bahnschrift"/>
          <w:szCs w:val="21"/>
          <w:lang w:val="pt-PT"/>
        </w:rPr>
        <w:t xml:space="preserve"> de </w:t>
      </w:r>
      <w:proofErr w:type="spellStart"/>
      <w:r w:rsidRPr="00963D3C">
        <w:rPr>
          <w:rFonts w:ascii="Bahnschrift" w:hAnsi="Bahnschrift"/>
          <w:szCs w:val="21"/>
          <w:lang w:val="pt-PT"/>
        </w:rPr>
        <w:t>Participaciones</w:t>
      </w:r>
      <w:proofErr w:type="spellEnd"/>
      <w:r w:rsidRPr="00963D3C">
        <w:rPr>
          <w:rFonts w:ascii="Bahnschrift" w:hAnsi="Bahnschrift"/>
          <w:szCs w:val="21"/>
          <w:lang w:val="pt-PT"/>
        </w:rPr>
        <w:t xml:space="preserve"> </w:t>
      </w:r>
      <w:proofErr w:type="spellStart"/>
      <w:r w:rsidRPr="00963D3C">
        <w:rPr>
          <w:rFonts w:ascii="Bahnschrift" w:hAnsi="Bahnschrift"/>
          <w:szCs w:val="21"/>
          <w:lang w:val="pt-PT"/>
        </w:rPr>
        <w:t>Minoritarias</w:t>
      </w:r>
      <w:proofErr w:type="spellEnd"/>
      <w:r w:rsidRPr="00963D3C">
        <w:rPr>
          <w:rFonts w:ascii="Bahnschrift" w:hAnsi="Bahnschrift"/>
          <w:szCs w:val="21"/>
          <w:lang w:val="pt-PT"/>
        </w:rPr>
        <w:t xml:space="preserve"> e AOC </w:t>
      </w:r>
      <w:proofErr w:type="spellStart"/>
      <w:r w:rsidRPr="00963D3C">
        <w:rPr>
          <w:rFonts w:ascii="Bahnschrift" w:hAnsi="Bahnschrift"/>
          <w:szCs w:val="21"/>
          <w:lang w:val="pt-PT"/>
        </w:rPr>
        <w:t>Health</w:t>
      </w:r>
      <w:proofErr w:type="spellEnd"/>
      <w:r w:rsidRPr="00963D3C">
        <w:rPr>
          <w:rFonts w:ascii="Bahnschrift" w:hAnsi="Bahnschrift"/>
          <w:szCs w:val="21"/>
          <w:lang w:val="pt-PT"/>
        </w:rPr>
        <w:t xml:space="preserve"> </w:t>
      </w:r>
      <w:proofErr w:type="spellStart"/>
      <w:r w:rsidRPr="00963D3C">
        <w:rPr>
          <w:rFonts w:ascii="Bahnschrift" w:hAnsi="Bahnschrift"/>
          <w:szCs w:val="21"/>
          <w:lang w:val="pt-PT"/>
        </w:rPr>
        <w:t>GmbH</w:t>
      </w:r>
      <w:proofErr w:type="spellEnd"/>
      <w:r w:rsidRPr="00963D3C">
        <w:rPr>
          <w:rFonts w:ascii="Bahnschrift" w:hAnsi="Bahnschrift"/>
          <w:szCs w:val="21"/>
          <w:lang w:val="pt-PT"/>
        </w:rPr>
        <w:t>.</w:t>
      </w:r>
    </w:p>
    <w:p w:rsidR="00C42352" w:rsidRPr="00963D3C" w:rsidRDefault="00C42352" w:rsidP="00C42352">
      <w:pPr>
        <w:pStyle w:val="PargrafodaLista"/>
        <w:ind w:left="1440"/>
        <w:rPr>
          <w:rFonts w:ascii="Bahnschrift" w:hAnsi="Bahnschrift"/>
          <w:szCs w:val="21"/>
          <w:lang w:val="pt-PT"/>
        </w:rPr>
      </w:pPr>
    </w:p>
    <w:p w:rsidR="00963D3C" w:rsidRPr="00C42352" w:rsidRDefault="00EE428B" w:rsidP="00C42352">
      <w:pPr>
        <w:pStyle w:val="PargrafodaLista"/>
        <w:numPr>
          <w:ilvl w:val="0"/>
          <w:numId w:val="10"/>
        </w:numPr>
        <w:rPr>
          <w:rFonts w:ascii="Bahnschrift" w:hAnsi="Bahnschrift"/>
          <w:b/>
          <w:szCs w:val="21"/>
          <w:lang w:val="pt-PT"/>
        </w:rPr>
      </w:pPr>
      <w:r>
        <w:rPr>
          <w:rFonts w:ascii="Bahnschrift" w:hAnsi="Bahnschrift"/>
          <w:b/>
          <w:szCs w:val="21"/>
          <w:lang w:val="pt-PT"/>
        </w:rPr>
        <w:t>4</w:t>
      </w:r>
      <w:r w:rsidR="00C42352" w:rsidRPr="00C42352">
        <w:rPr>
          <w:rFonts w:ascii="Bahnschrift" w:hAnsi="Bahnschrift"/>
          <w:b/>
          <w:szCs w:val="21"/>
          <w:lang w:val="pt-PT"/>
        </w:rPr>
        <w:t xml:space="preserve"> </w:t>
      </w:r>
      <w:proofErr w:type="gramStart"/>
      <w:r w:rsidR="00C42352" w:rsidRPr="00C42352">
        <w:rPr>
          <w:rFonts w:ascii="Bahnschrift" w:hAnsi="Bahnschrift"/>
          <w:b/>
          <w:szCs w:val="21"/>
          <w:lang w:val="pt-PT"/>
        </w:rPr>
        <w:t>notas</w:t>
      </w:r>
      <w:proofErr w:type="gramEnd"/>
      <w:r w:rsidR="00C42352" w:rsidRPr="00C42352">
        <w:rPr>
          <w:rFonts w:ascii="Bahnschrift" w:hAnsi="Bahnschrift"/>
          <w:b/>
          <w:szCs w:val="21"/>
          <w:lang w:val="pt-PT"/>
        </w:rPr>
        <w:t xml:space="preserve"> de ilicitude:</w:t>
      </w:r>
    </w:p>
    <w:p w:rsidR="00571757" w:rsidRPr="00571757" w:rsidRDefault="00571757" w:rsidP="00571757">
      <w:pPr>
        <w:pStyle w:val="PargrafodaLista"/>
        <w:numPr>
          <w:ilvl w:val="1"/>
          <w:numId w:val="10"/>
        </w:numPr>
        <w:rPr>
          <w:rFonts w:ascii="Bahnschrift" w:hAnsi="Bahnschrift"/>
          <w:szCs w:val="21"/>
          <w:lang w:val="pt-PT"/>
        </w:rPr>
      </w:pPr>
      <w:r w:rsidRPr="00571757">
        <w:rPr>
          <w:rFonts w:ascii="Bahnschrift" w:hAnsi="Bahnschrift"/>
          <w:szCs w:val="21"/>
          <w:lang w:val="pt-PT"/>
        </w:rPr>
        <w:t>Na saúde, cinco hospitais privados e a sua associação comercial por acordo anticoncorrencial</w:t>
      </w:r>
    </w:p>
    <w:p w:rsidR="00571757" w:rsidRPr="00571757" w:rsidRDefault="00571757" w:rsidP="00571757">
      <w:pPr>
        <w:pStyle w:val="PargrafodaLista"/>
        <w:numPr>
          <w:ilvl w:val="1"/>
          <w:numId w:val="10"/>
        </w:numPr>
        <w:rPr>
          <w:rFonts w:ascii="Bahnschrift" w:hAnsi="Bahnschrift"/>
          <w:szCs w:val="21"/>
          <w:lang w:val="pt-PT"/>
        </w:rPr>
      </w:pPr>
      <w:r w:rsidRPr="00571757">
        <w:rPr>
          <w:rFonts w:ascii="Bahnschrift" w:hAnsi="Bahnschrift"/>
          <w:szCs w:val="21"/>
          <w:lang w:val="pt-PT"/>
        </w:rPr>
        <w:t xml:space="preserve">Nos serviços de segurança e vigilância, sete empresas </w:t>
      </w:r>
      <w:r>
        <w:rPr>
          <w:rFonts w:ascii="Bahnschrift" w:hAnsi="Bahnschrift"/>
          <w:szCs w:val="21"/>
          <w:lang w:val="pt-PT"/>
        </w:rPr>
        <w:t>participaram em</w:t>
      </w:r>
      <w:r w:rsidRPr="00571757">
        <w:rPr>
          <w:rFonts w:ascii="Bahnschrift" w:hAnsi="Bahnschrift"/>
          <w:szCs w:val="21"/>
          <w:lang w:val="pt-PT"/>
        </w:rPr>
        <w:t xml:space="preserve"> cartel em concursos públicos</w:t>
      </w:r>
    </w:p>
    <w:p w:rsidR="007475A3" w:rsidRDefault="00571757" w:rsidP="007475A3">
      <w:pPr>
        <w:pStyle w:val="PargrafodaLista"/>
        <w:numPr>
          <w:ilvl w:val="1"/>
          <w:numId w:val="10"/>
        </w:numPr>
        <w:rPr>
          <w:rFonts w:ascii="Bahnschrift" w:hAnsi="Bahnschrift"/>
          <w:szCs w:val="21"/>
          <w:lang w:val="pt-PT"/>
        </w:rPr>
      </w:pPr>
      <w:r w:rsidRPr="00571757">
        <w:rPr>
          <w:rFonts w:ascii="Bahnschrift" w:hAnsi="Bahnschrift"/>
          <w:szCs w:val="21"/>
          <w:lang w:val="pt-PT"/>
        </w:rPr>
        <w:t xml:space="preserve">Na gestão de resíduos, </w:t>
      </w:r>
      <w:proofErr w:type="spellStart"/>
      <w:r w:rsidRPr="00571757">
        <w:rPr>
          <w:rFonts w:ascii="Bahnschrift" w:hAnsi="Bahnschrift"/>
          <w:szCs w:val="21"/>
          <w:lang w:val="pt-PT"/>
        </w:rPr>
        <w:t>Blueotter</w:t>
      </w:r>
      <w:proofErr w:type="spellEnd"/>
      <w:r w:rsidRPr="00571757">
        <w:rPr>
          <w:rFonts w:ascii="Bahnschrift" w:hAnsi="Bahnschrift"/>
          <w:szCs w:val="21"/>
          <w:lang w:val="pt-PT"/>
        </w:rPr>
        <w:t xml:space="preserve"> e EGEO, por acordo de não concorrência</w:t>
      </w:r>
    </w:p>
    <w:p w:rsidR="00571757" w:rsidRDefault="007475A3" w:rsidP="007475A3">
      <w:pPr>
        <w:pStyle w:val="PargrafodaLista"/>
        <w:numPr>
          <w:ilvl w:val="1"/>
          <w:numId w:val="10"/>
        </w:numPr>
        <w:rPr>
          <w:rFonts w:ascii="Bahnschrift" w:hAnsi="Bahnschrift"/>
          <w:szCs w:val="21"/>
          <w:lang w:val="pt-PT"/>
        </w:rPr>
      </w:pPr>
      <w:r w:rsidRPr="007475A3">
        <w:rPr>
          <w:rFonts w:ascii="Bahnschrift" w:hAnsi="Bahnschrift"/>
          <w:szCs w:val="21"/>
          <w:lang w:val="pt-PT"/>
        </w:rPr>
        <w:t xml:space="preserve">Na grande distribuição, quatro cadeias de supermercados e um fornecedor de produtos alimentares, domésticos e de higiene pessoal </w:t>
      </w:r>
      <w:r>
        <w:rPr>
          <w:rFonts w:ascii="Bahnschrift" w:hAnsi="Bahnschrift"/>
          <w:szCs w:val="21"/>
          <w:lang w:val="pt-PT"/>
        </w:rPr>
        <w:t>por</w:t>
      </w:r>
      <w:r w:rsidRPr="007475A3">
        <w:rPr>
          <w:rFonts w:ascii="Bahnschrift" w:hAnsi="Bahnschrift"/>
          <w:szCs w:val="21"/>
          <w:lang w:val="pt-PT"/>
        </w:rPr>
        <w:t xml:space="preserve"> </w:t>
      </w:r>
      <w:proofErr w:type="spellStart"/>
      <w:r w:rsidRPr="007475A3">
        <w:rPr>
          <w:rFonts w:ascii="Bahnschrift" w:hAnsi="Bahnschrift"/>
          <w:i/>
          <w:szCs w:val="21"/>
          <w:lang w:val="pt-PT"/>
        </w:rPr>
        <w:t>hub-and-spoke</w:t>
      </w:r>
      <w:proofErr w:type="spellEnd"/>
    </w:p>
    <w:p w:rsidR="007475A3" w:rsidRPr="007475A3" w:rsidRDefault="007475A3" w:rsidP="007475A3">
      <w:pPr>
        <w:pStyle w:val="PargrafodaLista"/>
        <w:ind w:left="1440"/>
        <w:rPr>
          <w:rFonts w:ascii="Bahnschrift" w:hAnsi="Bahnschrift"/>
          <w:szCs w:val="21"/>
          <w:lang w:val="pt-PT"/>
        </w:rPr>
      </w:pPr>
    </w:p>
    <w:p w:rsidR="00C42352" w:rsidRPr="00571757" w:rsidRDefault="00E04F5A" w:rsidP="00571757">
      <w:pPr>
        <w:pStyle w:val="PargrafodaLista"/>
        <w:numPr>
          <w:ilvl w:val="0"/>
          <w:numId w:val="15"/>
        </w:numPr>
        <w:rPr>
          <w:rFonts w:ascii="Bahnschrift" w:hAnsi="Bahnschrift"/>
          <w:szCs w:val="21"/>
          <w:lang w:val="pt-PT"/>
        </w:rPr>
      </w:pPr>
      <w:r>
        <w:rPr>
          <w:rFonts w:ascii="Bahnschrift" w:hAnsi="Bahnschrift"/>
          <w:b/>
          <w:szCs w:val="21"/>
          <w:lang w:val="pt-PT"/>
        </w:rPr>
        <w:t>491</w:t>
      </w:r>
      <w:r w:rsidR="00571757" w:rsidRPr="00D66D3C">
        <w:rPr>
          <w:rFonts w:ascii="Bahnschrift" w:hAnsi="Bahnschrift"/>
          <w:b/>
          <w:szCs w:val="21"/>
          <w:lang w:val="pt-PT"/>
        </w:rPr>
        <w:t xml:space="preserve"> </w:t>
      </w:r>
      <w:proofErr w:type="gramStart"/>
      <w:r w:rsidR="00D66D3C" w:rsidRPr="00D66D3C">
        <w:rPr>
          <w:rFonts w:ascii="Bahnschrift" w:hAnsi="Bahnschrift"/>
          <w:b/>
          <w:szCs w:val="21"/>
          <w:lang w:val="pt-PT"/>
        </w:rPr>
        <w:t>denúncias</w:t>
      </w:r>
      <w:proofErr w:type="gramEnd"/>
      <w:r w:rsidR="00571757" w:rsidRPr="00571757">
        <w:rPr>
          <w:rFonts w:ascii="Bahnschrift" w:hAnsi="Bahnschrift"/>
          <w:szCs w:val="21"/>
          <w:lang w:val="pt-PT"/>
        </w:rPr>
        <w:t xml:space="preserve"> recebidas e </w:t>
      </w:r>
      <w:r w:rsidR="00D66D3C">
        <w:rPr>
          <w:rFonts w:ascii="Bahnschrift" w:hAnsi="Bahnschrift"/>
          <w:szCs w:val="21"/>
          <w:lang w:val="pt-PT"/>
        </w:rPr>
        <w:t>analisadas</w:t>
      </w:r>
      <w:r w:rsidR="00571757" w:rsidRPr="00571757">
        <w:rPr>
          <w:rFonts w:ascii="Bahnschrift" w:hAnsi="Bahnschrift"/>
          <w:szCs w:val="21"/>
          <w:lang w:val="pt-PT"/>
        </w:rPr>
        <w:t>.</w:t>
      </w:r>
    </w:p>
    <w:p w:rsidR="00963D3C" w:rsidRPr="008A7131" w:rsidRDefault="00963D3C" w:rsidP="00963D3C">
      <w:pPr>
        <w:pStyle w:val="Cabealho3"/>
        <w:spacing w:after="195"/>
        <w:ind w:left="0"/>
        <w:rPr>
          <w:rFonts w:ascii="Bahnschrift" w:hAnsi="Bahnschrift"/>
          <w:szCs w:val="21"/>
        </w:rPr>
      </w:pPr>
      <w:r w:rsidRPr="008A7131">
        <w:rPr>
          <w:rFonts w:ascii="Bahnschrift" w:hAnsi="Bahnschrift"/>
          <w:szCs w:val="21"/>
        </w:rPr>
        <w:t xml:space="preserve">Controlo de operações de concentração </w:t>
      </w:r>
    </w:p>
    <w:p w:rsidR="00963D3C" w:rsidRDefault="00571757" w:rsidP="00571757">
      <w:pPr>
        <w:pStyle w:val="PargrafodaLista"/>
        <w:numPr>
          <w:ilvl w:val="0"/>
          <w:numId w:val="8"/>
        </w:numPr>
        <w:ind w:left="284" w:hanging="284"/>
        <w:rPr>
          <w:rFonts w:ascii="Bahnschrift" w:eastAsia="Roboto" w:hAnsi="Bahnschrift" w:cs="Roboto"/>
          <w:sz w:val="21"/>
          <w:szCs w:val="21"/>
          <w:lang w:val="pt-PT"/>
        </w:rPr>
      </w:pPr>
      <w:r>
        <w:rPr>
          <w:rFonts w:ascii="Bahnschrift" w:eastAsia="Roboto" w:hAnsi="Bahnschrift" w:cs="Roboto"/>
          <w:b/>
          <w:sz w:val="21"/>
          <w:szCs w:val="21"/>
          <w:lang w:val="pt-PT"/>
        </w:rPr>
        <w:t>5</w:t>
      </w:r>
      <w:r w:rsidR="005D7707">
        <w:rPr>
          <w:rFonts w:ascii="Bahnschrift" w:eastAsia="Roboto" w:hAnsi="Bahnschrift" w:cs="Roboto"/>
          <w:b/>
          <w:sz w:val="21"/>
          <w:szCs w:val="21"/>
          <w:lang w:val="pt-PT"/>
        </w:rPr>
        <w:t>3</w:t>
      </w:r>
      <w:bookmarkStart w:id="0" w:name="_GoBack"/>
      <w:bookmarkEnd w:id="0"/>
      <w:r>
        <w:rPr>
          <w:rFonts w:ascii="Bahnschrift" w:eastAsia="Roboto" w:hAnsi="Bahnschrift" w:cs="Roboto"/>
          <w:b/>
          <w:sz w:val="21"/>
          <w:szCs w:val="21"/>
          <w:lang w:val="pt-PT"/>
        </w:rPr>
        <w:t xml:space="preserve"> </w:t>
      </w:r>
      <w:r w:rsidRPr="00746A3A">
        <w:rPr>
          <w:rFonts w:ascii="Bahnschrift" w:eastAsia="Roboto" w:hAnsi="Bahnschrift" w:cs="Roboto"/>
          <w:b/>
          <w:sz w:val="21"/>
          <w:szCs w:val="21"/>
          <w:lang w:val="pt-PT"/>
        </w:rPr>
        <w:t>decisões</w:t>
      </w:r>
      <w:r w:rsidR="00963D3C" w:rsidRPr="00746A3A">
        <w:rPr>
          <w:rFonts w:ascii="Bahnschrift" w:eastAsia="Roboto" w:hAnsi="Bahnschrift" w:cs="Roboto"/>
          <w:b/>
          <w:sz w:val="21"/>
          <w:szCs w:val="21"/>
          <w:lang w:val="pt-PT"/>
        </w:rPr>
        <w:t xml:space="preserve"> finais </w:t>
      </w:r>
    </w:p>
    <w:p w:rsidR="00571757" w:rsidRDefault="00571757" w:rsidP="00571757">
      <w:pPr>
        <w:pStyle w:val="PargrafodaLista"/>
        <w:numPr>
          <w:ilvl w:val="0"/>
          <w:numId w:val="8"/>
        </w:numPr>
        <w:ind w:left="284" w:hanging="284"/>
        <w:rPr>
          <w:rFonts w:ascii="Bahnschrift" w:eastAsia="Roboto" w:hAnsi="Bahnschrift" w:cs="Roboto"/>
          <w:sz w:val="21"/>
          <w:szCs w:val="21"/>
          <w:lang w:val="pt-PT"/>
        </w:rPr>
      </w:pPr>
      <w:r w:rsidRPr="00571757">
        <w:rPr>
          <w:rFonts w:ascii="Bahnschrift" w:eastAsia="Roboto" w:hAnsi="Bahnschrift" w:cs="Roboto"/>
          <w:b/>
          <w:sz w:val="21"/>
          <w:szCs w:val="21"/>
          <w:lang w:val="pt-PT"/>
        </w:rPr>
        <w:t>3</w:t>
      </w:r>
      <w:r>
        <w:rPr>
          <w:rFonts w:ascii="Bahnschrift" w:eastAsia="Roboto" w:hAnsi="Bahnschrift" w:cs="Roboto"/>
          <w:sz w:val="21"/>
          <w:szCs w:val="21"/>
          <w:lang w:val="pt-PT"/>
        </w:rPr>
        <w:t xml:space="preserve"> </w:t>
      </w:r>
      <w:proofErr w:type="gramStart"/>
      <w:r w:rsidRPr="00571757">
        <w:rPr>
          <w:rFonts w:ascii="Bahnschrift" w:eastAsia="Roboto" w:hAnsi="Bahnschrift" w:cs="Roboto"/>
          <w:b/>
          <w:sz w:val="21"/>
          <w:szCs w:val="21"/>
          <w:lang w:val="pt-PT"/>
        </w:rPr>
        <w:t>decisões</w:t>
      </w:r>
      <w:proofErr w:type="gramEnd"/>
      <w:r w:rsidRPr="00571757">
        <w:rPr>
          <w:rFonts w:ascii="Bahnschrift" w:eastAsia="Roboto" w:hAnsi="Bahnschrift" w:cs="Roboto"/>
          <w:b/>
          <w:sz w:val="21"/>
          <w:szCs w:val="21"/>
          <w:lang w:val="pt-PT"/>
        </w:rPr>
        <w:t xml:space="preserve"> de condenação</w:t>
      </w:r>
      <w:r>
        <w:rPr>
          <w:rFonts w:ascii="Bahnschrift" w:eastAsia="Roboto" w:hAnsi="Bahnschrift" w:cs="Roboto"/>
          <w:sz w:val="21"/>
          <w:szCs w:val="21"/>
          <w:lang w:val="pt-PT"/>
        </w:rPr>
        <w:t xml:space="preserve"> por </w:t>
      </w:r>
      <w:proofErr w:type="spellStart"/>
      <w:r w:rsidRPr="00571757">
        <w:rPr>
          <w:rFonts w:ascii="Bahnschrift" w:eastAsia="Roboto" w:hAnsi="Bahnschrift" w:cs="Roboto"/>
          <w:i/>
          <w:sz w:val="21"/>
          <w:szCs w:val="21"/>
          <w:lang w:val="pt-PT"/>
        </w:rPr>
        <w:t>gun-jumping</w:t>
      </w:r>
      <w:proofErr w:type="spellEnd"/>
    </w:p>
    <w:p w:rsidR="00963D3C" w:rsidRPr="00571757" w:rsidRDefault="00571757" w:rsidP="00571757">
      <w:pPr>
        <w:pStyle w:val="PargrafodaLista"/>
        <w:numPr>
          <w:ilvl w:val="0"/>
          <w:numId w:val="8"/>
        </w:numPr>
        <w:ind w:left="284" w:hanging="284"/>
        <w:rPr>
          <w:rFonts w:ascii="Bahnschrift" w:eastAsia="Roboto" w:hAnsi="Bahnschrift" w:cs="Roboto"/>
          <w:sz w:val="21"/>
          <w:szCs w:val="21"/>
          <w:lang w:val="pt-PT"/>
        </w:rPr>
      </w:pPr>
      <w:r w:rsidRPr="00571757">
        <w:rPr>
          <w:rFonts w:ascii="Bahnschrift" w:eastAsia="Roboto" w:hAnsi="Bahnschrift" w:cs="Roboto"/>
          <w:b/>
          <w:sz w:val="21"/>
          <w:szCs w:val="21"/>
          <w:lang w:val="pt-PT"/>
        </w:rPr>
        <w:t>4</w:t>
      </w:r>
      <w:r>
        <w:rPr>
          <w:rFonts w:ascii="Bahnschrift" w:eastAsia="Roboto" w:hAnsi="Bahnschrift" w:cs="Roboto"/>
          <w:sz w:val="21"/>
          <w:szCs w:val="21"/>
          <w:lang w:val="pt-PT"/>
        </w:rPr>
        <w:t xml:space="preserve"> </w:t>
      </w:r>
      <w:proofErr w:type="gramStart"/>
      <w:r w:rsidRPr="00571757">
        <w:rPr>
          <w:rFonts w:ascii="Bahnschrift" w:eastAsia="Roboto" w:hAnsi="Bahnschrift" w:cs="Roboto"/>
          <w:b/>
          <w:sz w:val="21"/>
          <w:szCs w:val="21"/>
          <w:lang w:val="pt-PT"/>
        </w:rPr>
        <w:t>investigações</w:t>
      </w:r>
      <w:proofErr w:type="gramEnd"/>
      <w:r w:rsidR="00963D3C" w:rsidRPr="00571757">
        <w:rPr>
          <w:rFonts w:ascii="Bahnschrift" w:eastAsia="Roboto" w:hAnsi="Bahnschrift" w:cs="Roboto"/>
          <w:b/>
          <w:sz w:val="21"/>
          <w:szCs w:val="21"/>
          <w:lang w:val="pt-PT"/>
        </w:rPr>
        <w:t xml:space="preserve"> </w:t>
      </w:r>
      <w:r w:rsidR="00963D3C" w:rsidRPr="00571757">
        <w:rPr>
          <w:rFonts w:ascii="Bahnschrift" w:eastAsia="Roboto" w:hAnsi="Bahnschrift" w:cs="Roboto"/>
          <w:sz w:val="21"/>
          <w:szCs w:val="21"/>
          <w:lang w:val="pt-PT"/>
        </w:rPr>
        <w:t xml:space="preserve">a eventual </w:t>
      </w:r>
      <w:proofErr w:type="spellStart"/>
      <w:r w:rsidR="00963D3C" w:rsidRPr="00571757">
        <w:rPr>
          <w:rFonts w:ascii="Bahnschrift" w:eastAsia="Roboto" w:hAnsi="Bahnschrift" w:cs="Roboto"/>
          <w:i/>
          <w:sz w:val="21"/>
          <w:szCs w:val="21"/>
          <w:lang w:val="pt-PT"/>
        </w:rPr>
        <w:t>gun-jumping</w:t>
      </w:r>
      <w:proofErr w:type="spellEnd"/>
      <w:r w:rsidR="00963D3C" w:rsidRPr="00571757">
        <w:rPr>
          <w:rFonts w:ascii="Bahnschrift" w:eastAsia="Roboto" w:hAnsi="Bahnschrift" w:cs="Roboto"/>
          <w:sz w:val="21"/>
          <w:szCs w:val="21"/>
          <w:lang w:val="pt-PT"/>
        </w:rPr>
        <w:t xml:space="preserve"> ou operações de concentração não notificadas à AdC.</w:t>
      </w:r>
    </w:p>
    <w:p w:rsidR="00963D3C" w:rsidRPr="00746A3A" w:rsidRDefault="00571757" w:rsidP="00963D3C">
      <w:pPr>
        <w:pStyle w:val="PargrafodaLista"/>
        <w:numPr>
          <w:ilvl w:val="0"/>
          <w:numId w:val="8"/>
        </w:numPr>
        <w:ind w:left="284" w:hanging="284"/>
        <w:rPr>
          <w:rFonts w:ascii="Bahnschrift" w:eastAsia="Roboto" w:hAnsi="Bahnschrift" w:cs="Roboto"/>
          <w:b/>
          <w:sz w:val="21"/>
          <w:szCs w:val="21"/>
        </w:rPr>
      </w:pPr>
      <w:r>
        <w:rPr>
          <w:rFonts w:ascii="Bahnschrift" w:eastAsia="Roboto" w:hAnsi="Bahnschrift" w:cs="Roboto"/>
          <w:b/>
          <w:sz w:val="21"/>
          <w:szCs w:val="21"/>
          <w:lang w:val="pt-PT"/>
        </w:rPr>
        <w:t>52</w:t>
      </w:r>
      <w:r w:rsidR="00963D3C" w:rsidRPr="00571757">
        <w:rPr>
          <w:rFonts w:ascii="Bahnschrift" w:eastAsia="Roboto" w:hAnsi="Bahnschrift" w:cs="Roboto"/>
          <w:b/>
          <w:sz w:val="21"/>
          <w:szCs w:val="21"/>
          <w:lang w:val="pt-PT"/>
        </w:rPr>
        <w:t xml:space="preserve"> </w:t>
      </w:r>
      <w:proofErr w:type="spellStart"/>
      <w:proofErr w:type="gramStart"/>
      <w:r w:rsidR="00963D3C">
        <w:rPr>
          <w:rFonts w:ascii="Bahnschrift" w:eastAsia="Roboto" w:hAnsi="Bahnschrift" w:cs="Roboto"/>
          <w:b/>
          <w:sz w:val="21"/>
          <w:szCs w:val="21"/>
        </w:rPr>
        <w:t>processos</w:t>
      </w:r>
      <w:proofErr w:type="spellEnd"/>
      <w:proofErr w:type="gramEnd"/>
      <w:r w:rsidR="00963D3C">
        <w:rPr>
          <w:rFonts w:ascii="Bahnschrift" w:eastAsia="Roboto" w:hAnsi="Bahnschrift" w:cs="Roboto"/>
          <w:b/>
          <w:sz w:val="21"/>
          <w:szCs w:val="21"/>
        </w:rPr>
        <w:t xml:space="preserve"> de </w:t>
      </w:r>
      <w:proofErr w:type="spellStart"/>
      <w:r w:rsidR="00963D3C">
        <w:rPr>
          <w:rFonts w:ascii="Bahnschrift" w:eastAsia="Roboto" w:hAnsi="Bahnschrift" w:cs="Roboto"/>
          <w:b/>
          <w:sz w:val="21"/>
          <w:szCs w:val="21"/>
        </w:rPr>
        <w:t>avaliação</w:t>
      </w:r>
      <w:proofErr w:type="spellEnd"/>
      <w:r w:rsidR="00963D3C">
        <w:rPr>
          <w:rFonts w:ascii="Bahnschrift" w:eastAsia="Roboto" w:hAnsi="Bahnschrift" w:cs="Roboto"/>
          <w:b/>
          <w:sz w:val="21"/>
          <w:szCs w:val="21"/>
        </w:rPr>
        <w:t xml:space="preserve"> </w:t>
      </w:r>
      <w:proofErr w:type="spellStart"/>
      <w:r w:rsidR="00963D3C">
        <w:rPr>
          <w:rFonts w:ascii="Bahnschrift" w:eastAsia="Roboto" w:hAnsi="Bahnschrift" w:cs="Roboto"/>
          <w:b/>
          <w:sz w:val="21"/>
          <w:szCs w:val="21"/>
        </w:rPr>
        <w:t>prévia</w:t>
      </w:r>
      <w:proofErr w:type="spellEnd"/>
      <w:r w:rsidR="00963D3C" w:rsidRPr="00746A3A">
        <w:rPr>
          <w:rFonts w:ascii="Bahnschrift" w:eastAsia="Roboto" w:hAnsi="Bahnschrift" w:cs="Roboto"/>
          <w:b/>
          <w:sz w:val="21"/>
          <w:szCs w:val="21"/>
        </w:rPr>
        <w:t>.</w:t>
      </w:r>
    </w:p>
    <w:p w:rsidR="00963D3C" w:rsidRPr="006C59DF" w:rsidRDefault="00963D3C" w:rsidP="00963D3C">
      <w:pPr>
        <w:rPr>
          <w:rFonts w:ascii="Bahnschrift" w:hAnsi="Bahnschrift"/>
          <w:sz w:val="21"/>
          <w:szCs w:val="21"/>
        </w:rPr>
      </w:pPr>
    </w:p>
    <w:p w:rsidR="00963D3C" w:rsidRPr="004A4723" w:rsidRDefault="00963D3C" w:rsidP="00963D3C">
      <w:pPr>
        <w:pStyle w:val="Cabealho1"/>
        <w:ind w:left="0"/>
        <w:rPr>
          <w:rFonts w:ascii="Bahnschrift" w:hAnsi="Bahnschrift"/>
        </w:rPr>
      </w:pPr>
      <w:r w:rsidRPr="004A4723">
        <w:rPr>
          <w:rFonts w:ascii="Bahnschrift" w:hAnsi="Bahnschrift"/>
        </w:rPr>
        <w:t>Promoção da concorrência</w:t>
      </w:r>
    </w:p>
    <w:p w:rsidR="00963D3C" w:rsidRPr="008A7131" w:rsidRDefault="00963D3C" w:rsidP="00963D3C">
      <w:pPr>
        <w:pStyle w:val="Cabealho2"/>
        <w:spacing w:before="240" w:after="120"/>
        <w:ind w:left="0" w:hanging="11"/>
        <w:rPr>
          <w:rFonts w:ascii="Bahnschrift" w:hAnsi="Bahnschrift"/>
          <w:sz w:val="20"/>
          <w:szCs w:val="21"/>
        </w:rPr>
      </w:pPr>
      <w:r w:rsidRPr="008A7131">
        <w:rPr>
          <w:rFonts w:ascii="Bahnschrift" w:hAnsi="Bahnschrift"/>
          <w:sz w:val="20"/>
          <w:szCs w:val="21"/>
        </w:rPr>
        <w:t>Estudos e acompanhamento de mercados</w:t>
      </w:r>
    </w:p>
    <w:p w:rsidR="00963D3C" w:rsidRDefault="00963D3C" w:rsidP="00963D3C">
      <w:pPr>
        <w:spacing w:after="36"/>
        <w:rPr>
          <w:rFonts w:ascii="Bahnschrift" w:eastAsia="Roboto" w:hAnsi="Bahnschrift" w:cs="Roboto"/>
          <w:sz w:val="21"/>
          <w:szCs w:val="21"/>
          <w:lang w:val="pt-PT"/>
        </w:rPr>
      </w:pPr>
      <w:r>
        <w:rPr>
          <w:rFonts w:ascii="Bahnschrift" w:eastAsia="Roboto" w:hAnsi="Bahnschrift" w:cs="Roboto"/>
          <w:b/>
          <w:sz w:val="21"/>
          <w:szCs w:val="21"/>
          <w:lang w:val="pt-PT"/>
        </w:rPr>
        <w:t>22</w:t>
      </w:r>
      <w:r w:rsidRPr="0094029F">
        <w:rPr>
          <w:rFonts w:ascii="Bahnschrift" w:eastAsia="Roboto" w:hAnsi="Bahnschrift" w:cs="Roboto"/>
          <w:b/>
          <w:sz w:val="21"/>
          <w:szCs w:val="21"/>
          <w:lang w:val="pt-PT"/>
        </w:rPr>
        <w:t xml:space="preserve"> </w:t>
      </w:r>
      <w:proofErr w:type="gramStart"/>
      <w:r>
        <w:rPr>
          <w:rFonts w:ascii="Bahnschrift" w:eastAsia="Roboto" w:hAnsi="Bahnschrift" w:cs="Roboto"/>
          <w:b/>
          <w:sz w:val="21"/>
          <w:szCs w:val="21"/>
          <w:lang w:val="pt-PT"/>
        </w:rPr>
        <w:t>estudos</w:t>
      </w:r>
      <w:proofErr w:type="gramEnd"/>
      <w:r>
        <w:rPr>
          <w:rFonts w:ascii="Bahnschrift" w:eastAsia="Roboto" w:hAnsi="Bahnschrift" w:cs="Roboto"/>
          <w:b/>
          <w:sz w:val="21"/>
          <w:szCs w:val="21"/>
          <w:lang w:val="pt-PT"/>
        </w:rPr>
        <w:t xml:space="preserve">, recomendações e </w:t>
      </w:r>
      <w:r w:rsidRPr="0094029F">
        <w:rPr>
          <w:rFonts w:ascii="Bahnschrift" w:eastAsia="Roboto" w:hAnsi="Bahnschrift" w:cs="Roboto"/>
          <w:b/>
          <w:sz w:val="21"/>
          <w:szCs w:val="21"/>
          <w:lang w:val="pt-PT"/>
        </w:rPr>
        <w:t xml:space="preserve">pareceres </w:t>
      </w:r>
      <w:r w:rsidRPr="0094029F">
        <w:rPr>
          <w:rFonts w:ascii="Bahnschrift" w:eastAsia="Roboto" w:hAnsi="Bahnschrift" w:cs="Roboto"/>
          <w:sz w:val="21"/>
          <w:szCs w:val="21"/>
          <w:lang w:val="pt-PT"/>
        </w:rPr>
        <w:t>num vasto conjunto de setores</w:t>
      </w:r>
      <w:r>
        <w:rPr>
          <w:rFonts w:ascii="Bahnschrift" w:eastAsia="Roboto" w:hAnsi="Bahnschrift" w:cs="Roboto"/>
          <w:sz w:val="21"/>
          <w:szCs w:val="21"/>
          <w:lang w:val="pt-PT"/>
        </w:rPr>
        <w:t>, entre os quais:</w:t>
      </w:r>
    </w:p>
    <w:p w:rsidR="00571757" w:rsidRDefault="00571757" w:rsidP="00571757">
      <w:pPr>
        <w:pStyle w:val="PargrafodaLista"/>
        <w:numPr>
          <w:ilvl w:val="0"/>
          <w:numId w:val="11"/>
        </w:numPr>
        <w:spacing w:after="36"/>
        <w:rPr>
          <w:rFonts w:ascii="Bahnschrift" w:hAnsi="Bahnschrift"/>
          <w:sz w:val="21"/>
          <w:szCs w:val="21"/>
          <w:lang w:val="pt-PT"/>
        </w:rPr>
      </w:pPr>
      <w:r w:rsidRPr="00571757">
        <w:rPr>
          <w:rFonts w:ascii="Bahnschrift" w:hAnsi="Bahnschrift"/>
          <w:sz w:val="21"/>
          <w:szCs w:val="21"/>
          <w:lang w:val="pt-PT"/>
        </w:rPr>
        <w:t>Melhores práticas na adjudicação de contratos de serviços de transporte público (2021)</w:t>
      </w:r>
    </w:p>
    <w:p w:rsidR="00571757" w:rsidRPr="00571757" w:rsidRDefault="00571757" w:rsidP="00571757">
      <w:pPr>
        <w:pStyle w:val="PargrafodaLista"/>
        <w:numPr>
          <w:ilvl w:val="0"/>
          <w:numId w:val="11"/>
        </w:numPr>
        <w:spacing w:after="36"/>
        <w:rPr>
          <w:rFonts w:ascii="Bahnschrift" w:hAnsi="Bahnschrift"/>
          <w:sz w:val="21"/>
          <w:szCs w:val="21"/>
          <w:lang w:val="pt-PT"/>
        </w:rPr>
      </w:pPr>
      <w:r w:rsidRPr="00571757">
        <w:rPr>
          <w:rFonts w:ascii="Bahnschrift" w:hAnsi="Bahnschrift"/>
          <w:sz w:val="21"/>
          <w:szCs w:val="21"/>
          <w:lang w:val="pt-PT"/>
        </w:rPr>
        <w:t>Inquérito à indústria das empresas FinTech (2021)</w:t>
      </w:r>
    </w:p>
    <w:p w:rsidR="00571757" w:rsidRPr="00571757" w:rsidRDefault="00571757" w:rsidP="00571757">
      <w:pPr>
        <w:pStyle w:val="PargrafodaLista"/>
        <w:numPr>
          <w:ilvl w:val="0"/>
          <w:numId w:val="11"/>
        </w:numPr>
        <w:spacing w:after="36"/>
        <w:rPr>
          <w:rFonts w:ascii="Bahnschrift" w:hAnsi="Bahnschrift"/>
          <w:sz w:val="21"/>
          <w:szCs w:val="21"/>
          <w:lang w:val="pt-PT"/>
        </w:rPr>
      </w:pPr>
      <w:r w:rsidRPr="00571757">
        <w:rPr>
          <w:rFonts w:ascii="Bahnschrift" w:hAnsi="Bahnschrift"/>
          <w:sz w:val="21"/>
          <w:szCs w:val="21"/>
          <w:lang w:val="pt-PT"/>
        </w:rPr>
        <w:t>Acompanhamento das recomendações para o sector FinTech (2021)</w:t>
      </w:r>
    </w:p>
    <w:p w:rsidR="00571757" w:rsidRPr="00571757" w:rsidRDefault="00571757" w:rsidP="00571757">
      <w:pPr>
        <w:pStyle w:val="PargrafodaLista"/>
        <w:numPr>
          <w:ilvl w:val="0"/>
          <w:numId w:val="11"/>
        </w:numPr>
        <w:spacing w:after="36"/>
        <w:rPr>
          <w:rFonts w:ascii="Bahnschrift" w:hAnsi="Bahnschrift"/>
          <w:sz w:val="21"/>
          <w:szCs w:val="21"/>
          <w:lang w:val="pt-PT"/>
        </w:rPr>
      </w:pPr>
      <w:r w:rsidRPr="00571757">
        <w:rPr>
          <w:rFonts w:ascii="Bahnschrift" w:hAnsi="Bahnschrift"/>
          <w:sz w:val="21"/>
          <w:szCs w:val="21"/>
          <w:lang w:val="pt-PT"/>
        </w:rPr>
        <w:t>Comentários ao projecto de Código Bancário do banco central português (2021)</w:t>
      </w:r>
    </w:p>
    <w:p w:rsidR="00571757" w:rsidRPr="00571757" w:rsidRDefault="00571757" w:rsidP="00571757">
      <w:pPr>
        <w:pStyle w:val="PargrafodaLista"/>
        <w:numPr>
          <w:ilvl w:val="0"/>
          <w:numId w:val="11"/>
        </w:numPr>
        <w:spacing w:after="36"/>
        <w:rPr>
          <w:rFonts w:ascii="Bahnschrift" w:hAnsi="Bahnschrift"/>
          <w:sz w:val="21"/>
          <w:szCs w:val="21"/>
          <w:lang w:val="pt-PT"/>
        </w:rPr>
      </w:pPr>
      <w:r w:rsidRPr="00571757">
        <w:rPr>
          <w:rFonts w:ascii="Bahnschrift" w:hAnsi="Bahnschrift"/>
          <w:sz w:val="21"/>
          <w:szCs w:val="21"/>
          <w:lang w:val="pt-PT"/>
        </w:rPr>
        <w:t>Relatório sobre a concorrência na prestação de cuidados de hemodiálise em Portugal (2021)</w:t>
      </w:r>
    </w:p>
    <w:p w:rsidR="00571757" w:rsidRPr="00571757" w:rsidRDefault="00571757" w:rsidP="00571757">
      <w:pPr>
        <w:pStyle w:val="PargrafodaLista"/>
        <w:numPr>
          <w:ilvl w:val="0"/>
          <w:numId w:val="11"/>
        </w:numPr>
        <w:spacing w:after="36"/>
        <w:rPr>
          <w:rFonts w:ascii="Bahnschrift" w:hAnsi="Bahnschrift"/>
          <w:sz w:val="21"/>
          <w:szCs w:val="21"/>
          <w:lang w:val="pt-PT"/>
        </w:rPr>
      </w:pPr>
      <w:r>
        <w:rPr>
          <w:rFonts w:ascii="Bahnschrift" w:hAnsi="Bahnschrift"/>
          <w:sz w:val="21"/>
          <w:szCs w:val="21"/>
          <w:lang w:val="pt-PT"/>
        </w:rPr>
        <w:lastRenderedPageBreak/>
        <w:t>Versão Preliminar</w:t>
      </w:r>
      <w:r w:rsidRPr="00571757">
        <w:rPr>
          <w:rFonts w:ascii="Bahnschrift" w:hAnsi="Bahnschrift"/>
          <w:sz w:val="21"/>
          <w:szCs w:val="21"/>
          <w:lang w:val="pt-PT"/>
        </w:rPr>
        <w:t xml:space="preserve"> Questões e Guia de Boas Práticas sobre Acordos de Mercado de Trabalho (2021)</w:t>
      </w:r>
    </w:p>
    <w:p w:rsidR="00571757" w:rsidRPr="00571757" w:rsidRDefault="00571757" w:rsidP="00571757">
      <w:pPr>
        <w:pStyle w:val="PargrafodaLista"/>
        <w:numPr>
          <w:ilvl w:val="0"/>
          <w:numId w:val="11"/>
        </w:numPr>
        <w:spacing w:after="36"/>
        <w:rPr>
          <w:rFonts w:ascii="Bahnschrift" w:hAnsi="Bahnschrift"/>
          <w:sz w:val="21"/>
          <w:szCs w:val="21"/>
          <w:lang w:val="pt-PT"/>
        </w:rPr>
      </w:pPr>
      <w:r w:rsidRPr="00571757">
        <w:rPr>
          <w:rFonts w:ascii="Bahnschrift" w:hAnsi="Bahnschrift"/>
          <w:sz w:val="21"/>
          <w:szCs w:val="21"/>
          <w:lang w:val="pt-PT"/>
        </w:rPr>
        <w:t>Princípios de concorrência para a implementação da estratégia de recuperação económica (2021)</w:t>
      </w:r>
    </w:p>
    <w:p w:rsidR="00571757" w:rsidRPr="00571757" w:rsidRDefault="00571757" w:rsidP="00571757">
      <w:pPr>
        <w:pStyle w:val="PargrafodaLista"/>
        <w:numPr>
          <w:ilvl w:val="0"/>
          <w:numId w:val="11"/>
        </w:numPr>
        <w:spacing w:after="36"/>
        <w:rPr>
          <w:rFonts w:ascii="Bahnschrift" w:hAnsi="Bahnschrift"/>
          <w:sz w:val="21"/>
          <w:szCs w:val="21"/>
          <w:lang w:val="pt-PT"/>
        </w:rPr>
      </w:pPr>
      <w:r w:rsidRPr="00571757">
        <w:rPr>
          <w:rFonts w:ascii="Bahnschrift" w:hAnsi="Bahnschrift"/>
          <w:sz w:val="21"/>
          <w:szCs w:val="21"/>
          <w:lang w:val="pt-PT"/>
        </w:rPr>
        <w:t>Comentários da AdC ao Projecto de Lei sobre a criação da possibilidade de estabelecer margens máximas de comercialização para combustíveis simples e GPL em garrafas (2021)</w:t>
      </w:r>
    </w:p>
    <w:p w:rsidR="00571757" w:rsidRPr="00571757" w:rsidRDefault="00571757" w:rsidP="00571757">
      <w:pPr>
        <w:pStyle w:val="PargrafodaLista"/>
        <w:numPr>
          <w:ilvl w:val="0"/>
          <w:numId w:val="11"/>
        </w:numPr>
        <w:spacing w:after="36"/>
        <w:rPr>
          <w:rFonts w:ascii="Bahnschrift" w:hAnsi="Bahnschrift"/>
          <w:sz w:val="21"/>
          <w:szCs w:val="21"/>
          <w:lang w:val="pt-PT"/>
        </w:rPr>
      </w:pPr>
      <w:r w:rsidRPr="00571757">
        <w:rPr>
          <w:rFonts w:ascii="Bahnschrift" w:hAnsi="Bahnschrift"/>
          <w:sz w:val="21"/>
          <w:szCs w:val="21"/>
          <w:lang w:val="pt-PT"/>
        </w:rPr>
        <w:t>Relatório e guia de boas práticas sobre acordos anticoncorrenciais nos mercados de trabalho (2021)</w:t>
      </w:r>
    </w:p>
    <w:p w:rsidR="00571757" w:rsidRPr="00571757" w:rsidRDefault="00571757" w:rsidP="00571757">
      <w:pPr>
        <w:pStyle w:val="PargrafodaLista"/>
        <w:spacing w:after="36"/>
        <w:rPr>
          <w:rFonts w:ascii="Bahnschrift" w:hAnsi="Bahnschrift"/>
          <w:sz w:val="21"/>
          <w:szCs w:val="21"/>
          <w:lang w:val="pt-PT"/>
        </w:rPr>
      </w:pPr>
    </w:p>
    <w:p w:rsidR="00963D3C" w:rsidRPr="008A7131" w:rsidRDefault="00963D3C" w:rsidP="00963D3C">
      <w:pPr>
        <w:pStyle w:val="PargrafodaLista"/>
        <w:spacing w:after="9" w:line="249" w:lineRule="auto"/>
        <w:ind w:left="340"/>
        <w:jc w:val="both"/>
        <w:rPr>
          <w:rFonts w:ascii="Bahnschrift" w:eastAsia="Roboto" w:hAnsi="Bahnschrift" w:cs="Roboto"/>
          <w:szCs w:val="21"/>
          <w:lang w:val="pt-PT"/>
        </w:rPr>
      </w:pPr>
    </w:p>
    <w:p w:rsidR="00963D3C" w:rsidRPr="008A7131" w:rsidRDefault="00963D3C" w:rsidP="00963D3C">
      <w:pPr>
        <w:pStyle w:val="Cabealho2"/>
        <w:ind w:left="0"/>
        <w:rPr>
          <w:rFonts w:ascii="Bahnschrift" w:hAnsi="Bahnschrift"/>
          <w:sz w:val="20"/>
          <w:szCs w:val="21"/>
        </w:rPr>
      </w:pPr>
      <w:r w:rsidRPr="008A7131">
        <w:rPr>
          <w:rFonts w:ascii="Bahnschrift" w:hAnsi="Bahnschrift"/>
          <w:sz w:val="20"/>
          <w:szCs w:val="21"/>
        </w:rPr>
        <w:t>Estratégia da AdC para a contratação pública</w:t>
      </w:r>
    </w:p>
    <w:p w:rsidR="00571757" w:rsidRPr="00571757" w:rsidRDefault="00571757" w:rsidP="00571757">
      <w:pPr>
        <w:pStyle w:val="PargrafodaLista"/>
        <w:numPr>
          <w:ilvl w:val="0"/>
          <w:numId w:val="13"/>
        </w:numPr>
        <w:spacing w:after="108" w:line="249" w:lineRule="auto"/>
        <w:jc w:val="both"/>
        <w:rPr>
          <w:rFonts w:ascii="Bahnschrift" w:hAnsi="Bahnschrift"/>
          <w:sz w:val="21"/>
          <w:szCs w:val="21"/>
          <w:lang w:val="pt-PT"/>
        </w:rPr>
      </w:pPr>
      <w:r w:rsidRPr="00571757">
        <w:rPr>
          <w:rFonts w:ascii="Bahnschrift" w:hAnsi="Bahnschrift"/>
          <w:szCs w:val="21"/>
          <w:lang w:val="pt-PT"/>
        </w:rPr>
        <w:t xml:space="preserve">A iniciativa de </w:t>
      </w:r>
      <w:r w:rsidRPr="00571757">
        <w:rPr>
          <w:rFonts w:ascii="Bahnschrift" w:hAnsi="Bahnschrift"/>
          <w:b/>
          <w:szCs w:val="21"/>
          <w:lang w:val="pt-PT"/>
        </w:rPr>
        <w:t>combate ao conluio</w:t>
      </w:r>
      <w:r w:rsidRPr="00571757">
        <w:rPr>
          <w:rFonts w:ascii="Bahnschrift" w:hAnsi="Bahnschrift"/>
          <w:szCs w:val="21"/>
          <w:lang w:val="pt-PT"/>
        </w:rPr>
        <w:t xml:space="preserve"> entre concorrentes (</w:t>
      </w:r>
      <w:proofErr w:type="spellStart"/>
      <w:r w:rsidRPr="00571757">
        <w:rPr>
          <w:rFonts w:ascii="Bahnschrift" w:hAnsi="Bahnschrift"/>
          <w:szCs w:val="21"/>
          <w:lang w:val="pt-PT"/>
        </w:rPr>
        <w:t>Bid-Rigging</w:t>
      </w:r>
      <w:proofErr w:type="spellEnd"/>
      <w:r w:rsidRPr="00571757">
        <w:rPr>
          <w:rFonts w:ascii="Bahnschrift" w:hAnsi="Bahnschrift"/>
          <w:szCs w:val="21"/>
          <w:lang w:val="pt-PT"/>
        </w:rPr>
        <w:t xml:space="preserve"> </w:t>
      </w:r>
      <w:proofErr w:type="spellStart"/>
      <w:r w:rsidRPr="00571757">
        <w:rPr>
          <w:rFonts w:ascii="Bahnschrift" w:hAnsi="Bahnschrift"/>
          <w:szCs w:val="21"/>
          <w:lang w:val="pt-PT"/>
        </w:rPr>
        <w:t>outreach</w:t>
      </w:r>
      <w:proofErr w:type="spellEnd"/>
      <w:r w:rsidRPr="00571757">
        <w:rPr>
          <w:rFonts w:ascii="Bahnschrift" w:hAnsi="Bahnschrift"/>
          <w:b/>
          <w:szCs w:val="21"/>
          <w:lang w:val="pt-PT"/>
        </w:rPr>
        <w:t>) visa sensibilizar para os sinais de conluio nos concursos públicos</w:t>
      </w:r>
      <w:r w:rsidRPr="00571757">
        <w:rPr>
          <w:rFonts w:ascii="Bahnschrift" w:hAnsi="Bahnschrift"/>
          <w:szCs w:val="21"/>
          <w:lang w:val="pt-PT"/>
        </w:rPr>
        <w:t xml:space="preserve"> e promover uma adjudicação mais favorável à concorrência com mais de 2600 participantes desde 2016, concentrando-se em sectores com grandes volumes de concursos públicos e nos principais municípios (Lisboa, Porto, Funchal, Ponta Delgada).</w:t>
      </w:r>
    </w:p>
    <w:p w:rsidR="00571757" w:rsidRPr="00571757" w:rsidRDefault="00571757" w:rsidP="00571757">
      <w:pPr>
        <w:pStyle w:val="PargrafodaLista"/>
        <w:spacing w:after="108" w:line="249" w:lineRule="auto"/>
        <w:jc w:val="both"/>
        <w:rPr>
          <w:rFonts w:ascii="Bahnschrift" w:hAnsi="Bahnschrift"/>
          <w:sz w:val="21"/>
          <w:szCs w:val="21"/>
          <w:lang w:val="pt-PT"/>
        </w:rPr>
      </w:pPr>
    </w:p>
    <w:p w:rsidR="00963D3C" w:rsidRPr="008A7131" w:rsidRDefault="00963D3C" w:rsidP="00963D3C">
      <w:pPr>
        <w:pStyle w:val="Cabealho2"/>
        <w:spacing w:after="0"/>
        <w:ind w:left="0"/>
        <w:rPr>
          <w:rFonts w:ascii="Bahnschrift" w:hAnsi="Bahnschrift"/>
          <w:sz w:val="20"/>
          <w:szCs w:val="21"/>
        </w:rPr>
      </w:pPr>
      <w:r w:rsidRPr="008A7131">
        <w:rPr>
          <w:rFonts w:ascii="Bahnschrift" w:hAnsi="Bahnschrift"/>
          <w:sz w:val="20"/>
          <w:szCs w:val="21"/>
        </w:rPr>
        <w:t>Comunicação e Divulgação</w:t>
      </w:r>
    </w:p>
    <w:p w:rsidR="00963D3C" w:rsidRDefault="00963D3C" w:rsidP="00963D3C">
      <w:pPr>
        <w:spacing w:after="0" w:line="250" w:lineRule="auto"/>
        <w:jc w:val="both"/>
        <w:rPr>
          <w:rFonts w:ascii="Bahnschrift" w:eastAsia="Roboto" w:hAnsi="Bahnschrift" w:cs="Roboto"/>
          <w:b/>
          <w:sz w:val="21"/>
          <w:szCs w:val="21"/>
          <w:lang w:val="pt-PT"/>
        </w:rPr>
      </w:pPr>
    </w:p>
    <w:p w:rsidR="00571757" w:rsidRDefault="00571757" w:rsidP="00963D3C">
      <w:pPr>
        <w:spacing w:after="0" w:line="250" w:lineRule="auto"/>
        <w:jc w:val="both"/>
        <w:rPr>
          <w:rFonts w:ascii="Bahnschrift" w:eastAsia="Roboto" w:hAnsi="Bahnschrift" w:cs="Roboto"/>
          <w:b/>
          <w:sz w:val="21"/>
          <w:szCs w:val="21"/>
          <w:lang w:val="pt-PT"/>
        </w:rPr>
      </w:pPr>
    </w:p>
    <w:p w:rsidR="00571757" w:rsidRDefault="00571757" w:rsidP="00571757">
      <w:pPr>
        <w:pStyle w:val="PargrafodaLista"/>
        <w:numPr>
          <w:ilvl w:val="0"/>
          <w:numId w:val="13"/>
        </w:numPr>
        <w:spacing w:after="0" w:line="250" w:lineRule="auto"/>
        <w:jc w:val="both"/>
        <w:rPr>
          <w:rFonts w:ascii="Bahnschrift" w:eastAsia="Roboto" w:hAnsi="Bahnschrift" w:cs="Roboto"/>
          <w:sz w:val="21"/>
          <w:szCs w:val="21"/>
        </w:rPr>
      </w:pPr>
      <w:r w:rsidRPr="00571757">
        <w:rPr>
          <w:rFonts w:ascii="Bahnschrift" w:eastAsia="Roboto" w:hAnsi="Bahnschrift" w:cs="Roboto"/>
          <w:b/>
          <w:sz w:val="21"/>
          <w:szCs w:val="21"/>
        </w:rPr>
        <w:t xml:space="preserve">Webinar </w:t>
      </w:r>
      <w:proofErr w:type="spellStart"/>
      <w:r w:rsidRPr="00571757">
        <w:rPr>
          <w:rFonts w:ascii="Bahnschrift" w:eastAsia="Roboto" w:hAnsi="Bahnschrift" w:cs="Roboto"/>
          <w:b/>
          <w:sz w:val="21"/>
          <w:szCs w:val="21"/>
        </w:rPr>
        <w:t>aberto</w:t>
      </w:r>
      <w:proofErr w:type="spellEnd"/>
      <w:r w:rsidRPr="00571757">
        <w:rPr>
          <w:rFonts w:ascii="Bahnschrift" w:eastAsia="Roboto" w:hAnsi="Bahnschrift" w:cs="Roboto"/>
          <w:b/>
          <w:sz w:val="21"/>
          <w:szCs w:val="21"/>
        </w:rPr>
        <w:t xml:space="preserve"> e </w:t>
      </w:r>
      <w:proofErr w:type="spellStart"/>
      <w:r w:rsidRPr="00571757">
        <w:rPr>
          <w:rFonts w:ascii="Bahnschrift" w:eastAsia="Roboto" w:hAnsi="Bahnschrift" w:cs="Roboto"/>
          <w:b/>
          <w:sz w:val="21"/>
          <w:szCs w:val="21"/>
        </w:rPr>
        <w:t>série</w:t>
      </w:r>
      <w:proofErr w:type="spellEnd"/>
      <w:r w:rsidRPr="00571757">
        <w:rPr>
          <w:rFonts w:ascii="Bahnschrift" w:eastAsia="Roboto" w:hAnsi="Bahnschrift" w:cs="Roboto"/>
          <w:b/>
          <w:sz w:val="21"/>
          <w:szCs w:val="21"/>
        </w:rPr>
        <w:t xml:space="preserve"> de podcasts </w:t>
      </w:r>
      <w:proofErr w:type="spellStart"/>
      <w:r w:rsidRPr="00571757">
        <w:rPr>
          <w:rFonts w:ascii="Bahnschrift" w:eastAsia="Roboto" w:hAnsi="Bahnschrift" w:cs="Roboto"/>
          <w:b/>
          <w:sz w:val="21"/>
          <w:szCs w:val="21"/>
        </w:rPr>
        <w:t>CompCast</w:t>
      </w:r>
      <w:proofErr w:type="spellEnd"/>
      <w:r w:rsidRPr="00571757">
        <w:rPr>
          <w:rFonts w:ascii="Bahnschrift" w:eastAsia="Roboto" w:hAnsi="Bahnschrift" w:cs="Roboto"/>
          <w:sz w:val="21"/>
          <w:szCs w:val="21"/>
        </w:rPr>
        <w:t xml:space="preserve"> - Competition Talks on competition law and economics (</w:t>
      </w:r>
      <w:proofErr w:type="spellStart"/>
      <w:r w:rsidRPr="00571757">
        <w:rPr>
          <w:rFonts w:ascii="Bahnschrift" w:eastAsia="Roboto" w:hAnsi="Bahnschrift" w:cs="Roboto"/>
          <w:sz w:val="21"/>
          <w:szCs w:val="21"/>
        </w:rPr>
        <w:t>em</w:t>
      </w:r>
      <w:proofErr w:type="spellEnd"/>
      <w:r w:rsidRPr="00571757">
        <w:rPr>
          <w:rFonts w:ascii="Bahnschrift" w:eastAsia="Roboto" w:hAnsi="Bahnschrift" w:cs="Roboto"/>
          <w:sz w:val="21"/>
          <w:szCs w:val="21"/>
        </w:rPr>
        <w:t xml:space="preserve"> 2021: Patrick Rey, Christos </w:t>
      </w:r>
      <w:proofErr w:type="spellStart"/>
      <w:r w:rsidRPr="00571757">
        <w:rPr>
          <w:rFonts w:ascii="Bahnschrift" w:eastAsia="Roboto" w:hAnsi="Bahnschrift" w:cs="Roboto"/>
          <w:sz w:val="21"/>
          <w:szCs w:val="21"/>
        </w:rPr>
        <w:t>Genakos</w:t>
      </w:r>
      <w:proofErr w:type="spellEnd"/>
      <w:r w:rsidRPr="00571757">
        <w:rPr>
          <w:rFonts w:ascii="Bahnschrift" w:eastAsia="Roboto" w:hAnsi="Bahnschrift" w:cs="Roboto"/>
          <w:sz w:val="21"/>
          <w:szCs w:val="21"/>
        </w:rPr>
        <w:t xml:space="preserve">, William E. </w:t>
      </w:r>
      <w:proofErr w:type="spellStart"/>
      <w:r w:rsidRPr="00571757">
        <w:rPr>
          <w:rFonts w:ascii="Bahnschrift" w:eastAsia="Roboto" w:hAnsi="Bahnschrift" w:cs="Roboto"/>
          <w:sz w:val="21"/>
          <w:szCs w:val="21"/>
        </w:rPr>
        <w:t>Kovacic</w:t>
      </w:r>
      <w:proofErr w:type="spellEnd"/>
      <w:r w:rsidRPr="00571757">
        <w:rPr>
          <w:rFonts w:ascii="Bahnschrift" w:eastAsia="Roboto" w:hAnsi="Bahnschrift" w:cs="Roboto"/>
          <w:sz w:val="21"/>
          <w:szCs w:val="21"/>
        </w:rPr>
        <w:t xml:space="preserve">, Tommaso Valletti, </w:t>
      </w:r>
      <w:proofErr w:type="spellStart"/>
      <w:r w:rsidRPr="00571757">
        <w:rPr>
          <w:rFonts w:ascii="Bahnschrift" w:eastAsia="Roboto" w:hAnsi="Bahnschrift" w:cs="Roboto"/>
          <w:sz w:val="21"/>
          <w:szCs w:val="21"/>
        </w:rPr>
        <w:t>Oles</w:t>
      </w:r>
      <w:proofErr w:type="spellEnd"/>
      <w:r w:rsidRPr="00571757">
        <w:rPr>
          <w:rFonts w:ascii="Bahnschrift" w:eastAsia="Roboto" w:hAnsi="Bahnschrift" w:cs="Roboto"/>
          <w:sz w:val="21"/>
          <w:szCs w:val="21"/>
        </w:rPr>
        <w:t xml:space="preserve"> </w:t>
      </w:r>
      <w:proofErr w:type="spellStart"/>
      <w:r w:rsidRPr="00571757">
        <w:rPr>
          <w:rFonts w:ascii="Bahnschrift" w:eastAsia="Roboto" w:hAnsi="Bahnschrift" w:cs="Roboto"/>
          <w:sz w:val="21"/>
          <w:szCs w:val="21"/>
        </w:rPr>
        <w:t>Andriychuk</w:t>
      </w:r>
      <w:proofErr w:type="spellEnd"/>
      <w:r w:rsidRPr="00571757">
        <w:rPr>
          <w:rFonts w:ascii="Bahnschrift" w:eastAsia="Roboto" w:hAnsi="Bahnschrift" w:cs="Roboto"/>
          <w:sz w:val="21"/>
          <w:szCs w:val="21"/>
        </w:rPr>
        <w:t>, Alison Jones)</w:t>
      </w:r>
    </w:p>
    <w:p w:rsidR="00571757" w:rsidRDefault="00571757" w:rsidP="00571757">
      <w:pPr>
        <w:pStyle w:val="PargrafodaLista"/>
        <w:numPr>
          <w:ilvl w:val="0"/>
          <w:numId w:val="13"/>
        </w:numPr>
        <w:spacing w:after="0" w:line="250" w:lineRule="auto"/>
        <w:jc w:val="both"/>
        <w:rPr>
          <w:rFonts w:ascii="Bahnschrift" w:eastAsia="Roboto" w:hAnsi="Bahnschrift" w:cs="Roboto"/>
          <w:sz w:val="21"/>
          <w:szCs w:val="21"/>
          <w:lang w:val="pt-PT"/>
        </w:rPr>
      </w:pPr>
      <w:r w:rsidRPr="00571757">
        <w:rPr>
          <w:rFonts w:ascii="Bahnschrift" w:eastAsia="Roboto" w:hAnsi="Bahnschrift" w:cs="Roboto"/>
          <w:b/>
          <w:sz w:val="21"/>
          <w:szCs w:val="21"/>
          <w:lang w:val="pt-PT"/>
        </w:rPr>
        <w:t xml:space="preserve">O prémio AdC Competition </w:t>
      </w:r>
      <w:proofErr w:type="spellStart"/>
      <w:r w:rsidRPr="00571757">
        <w:rPr>
          <w:rFonts w:ascii="Bahnschrift" w:eastAsia="Roboto" w:hAnsi="Bahnschrift" w:cs="Roboto"/>
          <w:b/>
          <w:sz w:val="21"/>
          <w:szCs w:val="21"/>
          <w:lang w:val="pt-PT"/>
        </w:rPr>
        <w:t>Policy</w:t>
      </w:r>
      <w:proofErr w:type="spellEnd"/>
      <w:r w:rsidRPr="00571757">
        <w:rPr>
          <w:rFonts w:ascii="Bahnschrift" w:eastAsia="Roboto" w:hAnsi="Bahnschrift" w:cs="Roboto"/>
          <w:b/>
          <w:sz w:val="21"/>
          <w:szCs w:val="21"/>
          <w:lang w:val="pt-PT"/>
        </w:rPr>
        <w:t xml:space="preserve"> </w:t>
      </w:r>
      <w:proofErr w:type="spellStart"/>
      <w:r w:rsidRPr="00571757">
        <w:rPr>
          <w:rFonts w:ascii="Bahnschrift" w:eastAsia="Roboto" w:hAnsi="Bahnschrift" w:cs="Roboto"/>
          <w:b/>
          <w:sz w:val="21"/>
          <w:szCs w:val="21"/>
          <w:lang w:val="pt-PT"/>
        </w:rPr>
        <w:t>Award</w:t>
      </w:r>
      <w:proofErr w:type="spellEnd"/>
      <w:r w:rsidRPr="00571757">
        <w:rPr>
          <w:rFonts w:ascii="Bahnschrift" w:eastAsia="Roboto" w:hAnsi="Bahnschrift" w:cs="Roboto"/>
          <w:sz w:val="21"/>
          <w:szCs w:val="21"/>
          <w:lang w:val="pt-PT"/>
        </w:rPr>
        <w:t xml:space="preserve"> pela investigação académica em Direito da Concorrência, edição 2021, está em curso.</w:t>
      </w:r>
    </w:p>
    <w:p w:rsidR="00571757" w:rsidRDefault="00571757" w:rsidP="00571757">
      <w:pPr>
        <w:pStyle w:val="PargrafodaLista"/>
        <w:numPr>
          <w:ilvl w:val="0"/>
          <w:numId w:val="13"/>
        </w:numPr>
        <w:spacing w:after="0" w:line="250" w:lineRule="auto"/>
        <w:jc w:val="both"/>
        <w:rPr>
          <w:rFonts w:ascii="Bahnschrift" w:eastAsia="Roboto" w:hAnsi="Bahnschrift" w:cs="Roboto"/>
          <w:sz w:val="21"/>
          <w:szCs w:val="21"/>
          <w:lang w:val="pt-PT"/>
        </w:rPr>
      </w:pPr>
      <w:r w:rsidRPr="00571757">
        <w:rPr>
          <w:rFonts w:ascii="Bahnschrift" w:eastAsia="Roboto" w:hAnsi="Bahnschrift" w:cs="Roboto"/>
          <w:b/>
          <w:sz w:val="21"/>
          <w:szCs w:val="21"/>
          <w:lang w:val="pt-PT"/>
        </w:rPr>
        <w:t>AdC News</w:t>
      </w:r>
      <w:r w:rsidRPr="00571757">
        <w:rPr>
          <w:rFonts w:ascii="Bahnschrift" w:eastAsia="Roboto" w:hAnsi="Bahnschrift" w:cs="Roboto"/>
          <w:sz w:val="21"/>
          <w:szCs w:val="21"/>
          <w:lang w:val="pt-PT"/>
        </w:rPr>
        <w:t>: boletim mensal em português e em inglês.</w:t>
      </w:r>
    </w:p>
    <w:p w:rsidR="00571757" w:rsidRPr="00571757" w:rsidRDefault="00571757" w:rsidP="00571757">
      <w:pPr>
        <w:pStyle w:val="PargrafodaLista"/>
        <w:numPr>
          <w:ilvl w:val="0"/>
          <w:numId w:val="13"/>
        </w:numPr>
        <w:spacing w:after="0" w:line="250" w:lineRule="auto"/>
        <w:jc w:val="both"/>
        <w:rPr>
          <w:rFonts w:ascii="Bahnschrift" w:eastAsia="Roboto" w:hAnsi="Bahnschrift" w:cs="Roboto"/>
          <w:sz w:val="21"/>
          <w:szCs w:val="21"/>
          <w:lang w:val="pt-PT"/>
        </w:rPr>
        <w:sectPr w:rsidR="00571757" w:rsidRPr="00571757" w:rsidSect="00963D3C">
          <w:headerReference w:type="default" r:id="rId7"/>
          <w:footerReference w:type="default" r:id="rId8"/>
          <w:pgSz w:w="11906" w:h="16838"/>
          <w:pgMar w:top="1418" w:right="720" w:bottom="720" w:left="720" w:header="720" w:footer="720" w:gutter="0"/>
          <w:cols w:space="720"/>
        </w:sectPr>
      </w:pPr>
      <w:r w:rsidRPr="00571757">
        <w:rPr>
          <w:rFonts w:ascii="Bahnschrift" w:eastAsia="Roboto" w:hAnsi="Bahnschrift" w:cs="Roboto"/>
          <w:sz w:val="21"/>
          <w:szCs w:val="21"/>
          <w:lang w:val="pt-PT"/>
        </w:rPr>
        <w:t xml:space="preserve">Lançamento da </w:t>
      </w:r>
      <w:r w:rsidRPr="00571757">
        <w:rPr>
          <w:rFonts w:ascii="Bahnschrift" w:eastAsia="Roboto" w:hAnsi="Bahnschrift" w:cs="Roboto"/>
          <w:b/>
          <w:sz w:val="21"/>
          <w:szCs w:val="21"/>
          <w:lang w:val="pt-PT"/>
        </w:rPr>
        <w:t xml:space="preserve">nova identidade visual e </w:t>
      </w:r>
      <w:proofErr w:type="gramStart"/>
      <w:r w:rsidRPr="00571757">
        <w:rPr>
          <w:rFonts w:ascii="Bahnschrift" w:eastAsia="Roboto" w:hAnsi="Bahnschrift" w:cs="Roboto"/>
          <w:b/>
          <w:sz w:val="21"/>
          <w:szCs w:val="21"/>
          <w:lang w:val="pt-PT"/>
        </w:rPr>
        <w:t>website</w:t>
      </w:r>
      <w:proofErr w:type="gramEnd"/>
      <w:r w:rsidRPr="00571757">
        <w:rPr>
          <w:rFonts w:ascii="Bahnschrift" w:eastAsia="Roboto" w:hAnsi="Bahnschrift" w:cs="Roboto"/>
          <w:sz w:val="21"/>
          <w:szCs w:val="21"/>
          <w:lang w:val="pt-PT"/>
        </w:rPr>
        <w:t xml:space="preserve"> da AdC (Outubro 2021)</w:t>
      </w:r>
    </w:p>
    <w:p w:rsidR="00963D3C" w:rsidRDefault="00963D3C" w:rsidP="00963D3C">
      <w:pPr>
        <w:spacing w:after="136"/>
        <w:rPr>
          <w:rFonts w:ascii="Bahnschrift" w:eastAsia="Roboto" w:hAnsi="Bahnschrift" w:cs="Roboto"/>
          <w:b/>
          <w:color w:val="2E74B5"/>
          <w:sz w:val="21"/>
          <w:szCs w:val="21"/>
          <w:lang w:val="pt-PT"/>
        </w:rPr>
        <w:sectPr w:rsidR="00963D3C" w:rsidSect="00613C0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560" w:right="720" w:bottom="851" w:left="720" w:header="709" w:footer="709" w:gutter="0"/>
          <w:cols w:space="708"/>
          <w:docGrid w:linePitch="360"/>
        </w:sectPr>
      </w:pPr>
    </w:p>
    <w:p w:rsidR="00963D3C" w:rsidRPr="008A7131" w:rsidRDefault="00963D3C" w:rsidP="00963D3C">
      <w:pPr>
        <w:pStyle w:val="Cabealho2"/>
        <w:spacing w:after="120"/>
        <w:ind w:left="0" w:firstLine="0"/>
        <w:jc w:val="both"/>
        <w:rPr>
          <w:rFonts w:ascii="Bahnschrift" w:hAnsi="Bahnschrift"/>
          <w:sz w:val="20"/>
          <w:szCs w:val="21"/>
        </w:rPr>
      </w:pPr>
      <w:r w:rsidRPr="008A7131">
        <w:rPr>
          <w:rFonts w:ascii="Bahnschrift" w:hAnsi="Bahnschrift"/>
          <w:sz w:val="20"/>
          <w:szCs w:val="21"/>
        </w:rPr>
        <w:t>Atividade internacional</w:t>
      </w:r>
    </w:p>
    <w:p w:rsidR="00571757" w:rsidRPr="00571757" w:rsidRDefault="00571757" w:rsidP="00571757">
      <w:pPr>
        <w:pStyle w:val="PargrafodaLista"/>
        <w:numPr>
          <w:ilvl w:val="0"/>
          <w:numId w:val="14"/>
        </w:numPr>
        <w:rPr>
          <w:rFonts w:ascii="Bahnschrift" w:hAnsi="Bahnschrift"/>
          <w:sz w:val="21"/>
          <w:szCs w:val="21"/>
          <w:lang w:val="pt-PT"/>
        </w:rPr>
      </w:pPr>
      <w:r w:rsidRPr="00571757">
        <w:rPr>
          <w:rFonts w:ascii="Bahnschrift" w:hAnsi="Bahnschrift"/>
          <w:b/>
          <w:sz w:val="21"/>
          <w:szCs w:val="21"/>
          <w:lang w:val="pt-PT"/>
        </w:rPr>
        <w:t>Dia Europeu da Concorrência 2021</w:t>
      </w:r>
      <w:r w:rsidRPr="00571757">
        <w:rPr>
          <w:rFonts w:ascii="Bahnschrift" w:hAnsi="Bahnschrift"/>
          <w:sz w:val="21"/>
          <w:szCs w:val="21"/>
          <w:lang w:val="pt-PT"/>
        </w:rPr>
        <w:t xml:space="preserve"> organizado pela AdC, no contexto da Presidência Portuguesa do Conselho da UE, em Lisboa, em Junho de 2021.</w:t>
      </w:r>
    </w:p>
    <w:p w:rsidR="00571757" w:rsidRPr="00571757" w:rsidRDefault="00571757" w:rsidP="00571757">
      <w:pPr>
        <w:pStyle w:val="PargrafodaLista"/>
        <w:numPr>
          <w:ilvl w:val="0"/>
          <w:numId w:val="14"/>
        </w:numPr>
        <w:rPr>
          <w:rFonts w:ascii="Bahnschrift" w:hAnsi="Bahnschrift"/>
          <w:sz w:val="21"/>
          <w:szCs w:val="21"/>
          <w:lang w:val="pt-PT"/>
        </w:rPr>
      </w:pPr>
      <w:r w:rsidRPr="00571757">
        <w:rPr>
          <w:rFonts w:ascii="Bahnschrift" w:hAnsi="Bahnschrift"/>
          <w:sz w:val="21"/>
          <w:szCs w:val="21"/>
          <w:lang w:val="pt-PT"/>
        </w:rPr>
        <w:t xml:space="preserve">Autoridades da Concorrência portuguesas e espanholas realizaram </w:t>
      </w:r>
      <w:r w:rsidRPr="00571757">
        <w:rPr>
          <w:rFonts w:ascii="Bahnschrift" w:hAnsi="Bahnschrift"/>
          <w:b/>
          <w:sz w:val="21"/>
          <w:szCs w:val="21"/>
          <w:lang w:val="pt-PT"/>
        </w:rPr>
        <w:t>inspeções simultâneas sem aviso prévio</w:t>
      </w:r>
      <w:r w:rsidRPr="00571757">
        <w:rPr>
          <w:rFonts w:ascii="Bahnschrift" w:hAnsi="Bahnschrift"/>
          <w:sz w:val="21"/>
          <w:szCs w:val="21"/>
          <w:lang w:val="pt-PT"/>
        </w:rPr>
        <w:t xml:space="preserve"> em empresas que prestam serviços de informação comercial e financeira sobre empresas para eventuais comportamentos anticoncorrenciais em Portugal e Espanha (Junho 2021)</w:t>
      </w:r>
    </w:p>
    <w:p w:rsidR="00571757" w:rsidRPr="00571757" w:rsidRDefault="00571757" w:rsidP="00571757">
      <w:pPr>
        <w:pStyle w:val="PargrafodaLista"/>
        <w:numPr>
          <w:ilvl w:val="0"/>
          <w:numId w:val="14"/>
        </w:numPr>
        <w:rPr>
          <w:rFonts w:ascii="Bahnschrift" w:hAnsi="Bahnschrift"/>
          <w:sz w:val="21"/>
          <w:szCs w:val="21"/>
          <w:lang w:val="pt-PT"/>
        </w:rPr>
      </w:pPr>
      <w:r w:rsidRPr="00571757">
        <w:rPr>
          <w:rFonts w:ascii="Bahnschrift" w:hAnsi="Bahnschrift"/>
          <w:sz w:val="21"/>
          <w:szCs w:val="21"/>
          <w:lang w:val="pt-PT"/>
        </w:rPr>
        <w:t xml:space="preserve">Organização do </w:t>
      </w:r>
      <w:r w:rsidRPr="00571757">
        <w:rPr>
          <w:rFonts w:ascii="Bahnschrift" w:hAnsi="Bahnschrift"/>
          <w:b/>
          <w:sz w:val="21"/>
          <w:szCs w:val="21"/>
          <w:lang w:val="pt-PT"/>
        </w:rPr>
        <w:t xml:space="preserve">Fórum Ibero-Americano de </w:t>
      </w:r>
      <w:r>
        <w:rPr>
          <w:rFonts w:ascii="Bahnschrift" w:hAnsi="Bahnschrift"/>
          <w:b/>
          <w:sz w:val="21"/>
          <w:szCs w:val="21"/>
          <w:lang w:val="pt-PT"/>
        </w:rPr>
        <w:t>Concorrência</w:t>
      </w:r>
      <w:r w:rsidRPr="00571757">
        <w:rPr>
          <w:rFonts w:ascii="Bahnschrift" w:hAnsi="Bahnschrift"/>
          <w:sz w:val="21"/>
          <w:szCs w:val="21"/>
          <w:lang w:val="pt-PT"/>
        </w:rPr>
        <w:t xml:space="preserve"> (Setembro 2021), juntamente com a CNMC espanhola, juntamente com o Fórum de </w:t>
      </w:r>
      <w:r>
        <w:rPr>
          <w:rFonts w:ascii="Bahnschrift" w:hAnsi="Bahnschrift"/>
          <w:sz w:val="21"/>
          <w:szCs w:val="21"/>
          <w:lang w:val="pt-PT"/>
        </w:rPr>
        <w:t>Concorrência</w:t>
      </w:r>
      <w:r w:rsidRPr="00571757">
        <w:rPr>
          <w:rFonts w:ascii="Bahnschrift" w:hAnsi="Bahnschrift"/>
          <w:sz w:val="21"/>
          <w:szCs w:val="21"/>
          <w:lang w:val="pt-PT"/>
        </w:rPr>
        <w:t xml:space="preserve"> da América Latina e Caraíbas da OCDE-BID.</w:t>
      </w:r>
    </w:p>
    <w:p w:rsidR="00571757" w:rsidRPr="00571757" w:rsidRDefault="00571757" w:rsidP="00571757">
      <w:pPr>
        <w:pStyle w:val="PargrafodaLista"/>
        <w:numPr>
          <w:ilvl w:val="0"/>
          <w:numId w:val="14"/>
        </w:numPr>
        <w:rPr>
          <w:rFonts w:ascii="Bahnschrift" w:hAnsi="Bahnschrift"/>
          <w:sz w:val="21"/>
          <w:szCs w:val="21"/>
          <w:lang w:val="pt-PT"/>
        </w:rPr>
      </w:pPr>
      <w:r w:rsidRPr="00571757">
        <w:rPr>
          <w:rFonts w:ascii="Bahnschrift" w:hAnsi="Bahnschrift"/>
          <w:b/>
          <w:sz w:val="21"/>
          <w:szCs w:val="21"/>
          <w:lang w:val="pt-PT"/>
        </w:rPr>
        <w:t>7º Encontro da Rede Lusófona de Concorrência</w:t>
      </w:r>
      <w:r w:rsidRPr="00571757">
        <w:rPr>
          <w:rFonts w:ascii="Bahnschrift" w:hAnsi="Bahnschrift"/>
          <w:sz w:val="21"/>
          <w:szCs w:val="21"/>
          <w:lang w:val="pt-PT"/>
        </w:rPr>
        <w:t xml:space="preserve"> (Setembro 2021), com a participação de representantes de 8 países (Angola, Brasil, Cabo Verde, Guiné-Bissau, Moçambique, Portugal, São Tomé e Príncipe, e Timor Leste).</w:t>
      </w:r>
    </w:p>
    <w:p w:rsidR="0041180C" w:rsidRPr="00571757" w:rsidRDefault="00571757" w:rsidP="00571757">
      <w:pPr>
        <w:pStyle w:val="PargrafodaLista"/>
        <w:numPr>
          <w:ilvl w:val="0"/>
          <w:numId w:val="14"/>
        </w:numPr>
        <w:rPr>
          <w:rFonts w:ascii="Bahnschrift" w:hAnsi="Bahnschrift"/>
          <w:sz w:val="21"/>
          <w:szCs w:val="21"/>
          <w:lang w:val="pt-PT"/>
        </w:rPr>
      </w:pPr>
      <w:r w:rsidRPr="00571757">
        <w:rPr>
          <w:rFonts w:ascii="Bahnschrift" w:hAnsi="Bahnschrift"/>
          <w:b/>
          <w:sz w:val="21"/>
          <w:szCs w:val="21"/>
          <w:lang w:val="pt-PT"/>
        </w:rPr>
        <w:t xml:space="preserve">1º </w:t>
      </w:r>
      <w:proofErr w:type="gramStart"/>
      <w:r w:rsidRPr="00571757">
        <w:rPr>
          <w:rFonts w:ascii="Bahnschrift" w:hAnsi="Bahnschrift"/>
          <w:b/>
          <w:sz w:val="21"/>
          <w:szCs w:val="21"/>
          <w:lang w:val="pt-PT"/>
        </w:rPr>
        <w:t>encontro</w:t>
      </w:r>
      <w:proofErr w:type="gramEnd"/>
      <w:r w:rsidRPr="00571757">
        <w:rPr>
          <w:rFonts w:ascii="Bahnschrift" w:hAnsi="Bahnschrift"/>
          <w:b/>
          <w:sz w:val="21"/>
          <w:szCs w:val="21"/>
          <w:lang w:val="pt-PT"/>
        </w:rPr>
        <w:t xml:space="preserve"> bilateral com </w:t>
      </w:r>
      <w:r>
        <w:rPr>
          <w:rFonts w:ascii="Bahnschrift" w:hAnsi="Bahnschrift"/>
          <w:b/>
          <w:sz w:val="21"/>
          <w:szCs w:val="21"/>
          <w:lang w:val="pt-PT"/>
        </w:rPr>
        <w:t>a</w:t>
      </w:r>
      <w:r w:rsidRPr="00571757">
        <w:rPr>
          <w:rFonts w:ascii="Bahnschrift" w:hAnsi="Bahnschrift"/>
          <w:b/>
          <w:sz w:val="21"/>
          <w:szCs w:val="21"/>
          <w:lang w:val="pt-PT"/>
        </w:rPr>
        <w:t xml:space="preserve"> UOKiK</w:t>
      </w:r>
      <w:r w:rsidRPr="00571757">
        <w:rPr>
          <w:rFonts w:ascii="Bahnschrift" w:hAnsi="Bahnschrift"/>
          <w:sz w:val="21"/>
          <w:szCs w:val="21"/>
          <w:lang w:val="pt-PT"/>
        </w:rPr>
        <w:t xml:space="preserve"> (Autoridade da Concorrência Polaca) (Outubro 2021)</w:t>
      </w:r>
    </w:p>
    <w:sectPr w:rsidR="0041180C" w:rsidRPr="00571757" w:rsidSect="00613C0F">
      <w:type w:val="continuous"/>
      <w:pgSz w:w="11906" w:h="16838"/>
      <w:pgMar w:top="1560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950" w:rsidRDefault="00D66D3C">
      <w:pPr>
        <w:spacing w:after="0" w:line="240" w:lineRule="auto"/>
      </w:pPr>
      <w:r>
        <w:separator/>
      </w:r>
    </w:p>
  </w:endnote>
  <w:endnote w:type="continuationSeparator" w:id="0">
    <w:p w:rsidR="00917950" w:rsidRDefault="00D66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4827332"/>
      <w:docPartObj>
        <w:docPartGallery w:val="Page Numbers (Bottom of Page)"/>
        <w:docPartUnique/>
      </w:docPartObj>
    </w:sdtPr>
    <w:sdtEndPr/>
    <w:sdtContent>
      <w:p w:rsidR="00B46C89" w:rsidRDefault="00C4235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707" w:rsidRPr="005D7707">
          <w:rPr>
            <w:noProof/>
            <w:lang w:val="pt-PT"/>
          </w:rPr>
          <w:t>2</w:t>
        </w:r>
        <w:r>
          <w:fldChar w:fldCharType="end"/>
        </w:r>
      </w:p>
    </w:sdtContent>
  </w:sdt>
  <w:p w:rsidR="00B46C89" w:rsidRPr="00151A4B" w:rsidRDefault="005D7707">
    <w:pPr>
      <w:pStyle w:val="Rodap"/>
      <w:rPr>
        <w:rFonts w:ascii="Roboto" w:hAnsi="Roboto"/>
        <w:sz w:val="14"/>
        <w:lang w:val="es-E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3E1" w:rsidRDefault="005D7707">
    <w:pPr>
      <w:pStyle w:val="Rodap"/>
    </w:pPr>
  </w:p>
  <w:p w:rsidR="002A6103" w:rsidRDefault="005D770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7233284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:rsidR="00C413E1" w:rsidRPr="00F145F3" w:rsidRDefault="00C42352">
        <w:pPr>
          <w:pStyle w:val="Rodap"/>
          <w:jc w:val="right"/>
          <w:rPr>
            <w:rFonts w:ascii="Calibri" w:hAnsi="Calibri" w:cs="Calibri"/>
            <w:lang w:val="pt-PT"/>
          </w:rPr>
        </w:pPr>
        <w:r w:rsidRPr="00EB030B">
          <w:rPr>
            <w:rFonts w:ascii="Calibri" w:hAnsi="Calibri" w:cs="Calibri"/>
          </w:rPr>
          <w:fldChar w:fldCharType="begin"/>
        </w:r>
        <w:r w:rsidRPr="00F145F3">
          <w:rPr>
            <w:rFonts w:ascii="Calibri" w:hAnsi="Calibri" w:cs="Calibri"/>
            <w:lang w:val="pt-PT"/>
          </w:rPr>
          <w:instrText>PAGE   \* MERGEFORMAT</w:instrText>
        </w:r>
        <w:r w:rsidRPr="00EB030B">
          <w:rPr>
            <w:rFonts w:ascii="Calibri" w:hAnsi="Calibri" w:cs="Calibri"/>
          </w:rPr>
          <w:fldChar w:fldCharType="separate"/>
        </w:r>
        <w:r w:rsidR="00571757">
          <w:rPr>
            <w:rFonts w:ascii="Calibri" w:hAnsi="Calibri" w:cs="Calibri"/>
            <w:noProof/>
            <w:lang w:val="pt-PT"/>
          </w:rPr>
          <w:t>2</w:t>
        </w:r>
        <w:r w:rsidRPr="00EB030B">
          <w:rPr>
            <w:rFonts w:ascii="Calibri" w:hAnsi="Calibri" w:cs="Calibri"/>
          </w:rPr>
          <w:fldChar w:fldCharType="end"/>
        </w:r>
      </w:p>
    </w:sdtContent>
  </w:sdt>
  <w:p w:rsidR="002A6103" w:rsidRPr="005355C0" w:rsidRDefault="005D7707">
    <w:pPr>
      <w:rPr>
        <w:lang w:val="pt-PT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3E1" w:rsidRDefault="005D770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950" w:rsidRDefault="00D66D3C">
      <w:pPr>
        <w:spacing w:after="0" w:line="240" w:lineRule="auto"/>
      </w:pPr>
      <w:r>
        <w:separator/>
      </w:r>
    </w:p>
  </w:footnote>
  <w:footnote w:type="continuationSeparator" w:id="0">
    <w:p w:rsidR="00917950" w:rsidRDefault="00D66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B98" w:rsidRDefault="00C42352">
    <w:pPr>
      <w:pStyle w:val="Cabealho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3F504292" wp14:editId="0516B09C">
          <wp:simplePos x="0" y="0"/>
          <wp:positionH relativeFrom="margin">
            <wp:posOffset>5132717</wp:posOffset>
          </wp:positionH>
          <wp:positionV relativeFrom="paragraph">
            <wp:posOffset>-129396</wp:posOffset>
          </wp:positionV>
          <wp:extent cx="1445393" cy="692728"/>
          <wp:effectExtent l="0" t="0" r="254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dC_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5393" cy="6927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3E1" w:rsidRDefault="005D7707">
    <w:pPr>
      <w:pStyle w:val="Cabealho"/>
    </w:pPr>
  </w:p>
  <w:p w:rsidR="002A6103" w:rsidRDefault="005D770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3E1" w:rsidRDefault="00C42352">
    <w:pPr>
      <w:pStyle w:val="Cabealho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28214C8" wp14:editId="63641AC4">
          <wp:simplePos x="0" y="0"/>
          <wp:positionH relativeFrom="margin">
            <wp:align>right</wp:align>
          </wp:positionH>
          <wp:positionV relativeFrom="paragraph">
            <wp:posOffset>-33944</wp:posOffset>
          </wp:positionV>
          <wp:extent cx="1445393" cy="692728"/>
          <wp:effectExtent l="0" t="0" r="254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dC_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5393" cy="6927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A6103" w:rsidRDefault="005D7707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3E1" w:rsidRDefault="005D770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20488"/>
    <w:multiLevelType w:val="hybridMultilevel"/>
    <w:tmpl w:val="0CF6A150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C12BC6"/>
    <w:multiLevelType w:val="hybridMultilevel"/>
    <w:tmpl w:val="05F28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F51A9"/>
    <w:multiLevelType w:val="hybridMultilevel"/>
    <w:tmpl w:val="2C26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50DEE"/>
    <w:multiLevelType w:val="hybridMultilevel"/>
    <w:tmpl w:val="DD3ABBC2"/>
    <w:lvl w:ilvl="0" w:tplc="08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E7D0FC2"/>
    <w:multiLevelType w:val="hybridMultilevel"/>
    <w:tmpl w:val="3978344C"/>
    <w:lvl w:ilvl="0" w:tplc="B0D213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7E0AC5"/>
    <w:multiLevelType w:val="hybridMultilevel"/>
    <w:tmpl w:val="C85CF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673A2"/>
    <w:multiLevelType w:val="hybridMultilevel"/>
    <w:tmpl w:val="9B940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85F24"/>
    <w:multiLevelType w:val="hybridMultilevel"/>
    <w:tmpl w:val="7EB8CFFE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4B1C3522"/>
    <w:multiLevelType w:val="hybridMultilevel"/>
    <w:tmpl w:val="09C291C0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175AE6"/>
    <w:multiLevelType w:val="hybridMultilevel"/>
    <w:tmpl w:val="5B8C7EC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6354F0"/>
    <w:multiLevelType w:val="hybridMultilevel"/>
    <w:tmpl w:val="8D8CCFB6"/>
    <w:lvl w:ilvl="0" w:tplc="0816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1" w15:restartNumberingAfterBreak="0">
    <w:nsid w:val="66C25E47"/>
    <w:multiLevelType w:val="hybridMultilevel"/>
    <w:tmpl w:val="2F646B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7C2178A"/>
    <w:multiLevelType w:val="hybridMultilevel"/>
    <w:tmpl w:val="82046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520A2A"/>
    <w:multiLevelType w:val="hybridMultilevel"/>
    <w:tmpl w:val="0FBE5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F006E6"/>
    <w:multiLevelType w:val="hybridMultilevel"/>
    <w:tmpl w:val="9C304C7A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4"/>
  </w:num>
  <w:num w:numId="5">
    <w:abstractNumId w:val="10"/>
  </w:num>
  <w:num w:numId="6">
    <w:abstractNumId w:val="9"/>
  </w:num>
  <w:num w:numId="7">
    <w:abstractNumId w:val="0"/>
  </w:num>
  <w:num w:numId="8">
    <w:abstractNumId w:val="5"/>
  </w:num>
  <w:num w:numId="9">
    <w:abstractNumId w:val="11"/>
  </w:num>
  <w:num w:numId="10">
    <w:abstractNumId w:val="6"/>
  </w:num>
  <w:num w:numId="11">
    <w:abstractNumId w:val="12"/>
  </w:num>
  <w:num w:numId="12">
    <w:abstractNumId w:val="7"/>
  </w:num>
  <w:num w:numId="13">
    <w:abstractNumId w:val="13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D3C"/>
    <w:rsid w:val="002A0D98"/>
    <w:rsid w:val="0041180C"/>
    <w:rsid w:val="00571757"/>
    <w:rsid w:val="005D7707"/>
    <w:rsid w:val="006A1E2A"/>
    <w:rsid w:val="007475A3"/>
    <w:rsid w:val="00917950"/>
    <w:rsid w:val="00963D3C"/>
    <w:rsid w:val="00B9769E"/>
    <w:rsid w:val="00C42352"/>
    <w:rsid w:val="00D66D3C"/>
    <w:rsid w:val="00E04F5A"/>
    <w:rsid w:val="00EE428B"/>
    <w:rsid w:val="00F3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85495-AD19-4D90-94D3-3546F3D2D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D3C"/>
    <w:rPr>
      <w:rFonts w:eastAsiaTheme="minorEastAsia"/>
    </w:rPr>
  </w:style>
  <w:style w:type="paragraph" w:styleId="Cabealho1">
    <w:name w:val="heading 1"/>
    <w:next w:val="Normal"/>
    <w:link w:val="Cabealho1Carter"/>
    <w:uiPriority w:val="9"/>
    <w:unhideWhenUsed/>
    <w:qFormat/>
    <w:rsid w:val="00963D3C"/>
    <w:pPr>
      <w:keepNext/>
      <w:keepLines/>
      <w:spacing w:after="73"/>
      <w:ind w:left="10" w:hanging="10"/>
      <w:outlineLvl w:val="0"/>
    </w:pPr>
    <w:rPr>
      <w:rFonts w:ascii="Roboto" w:eastAsia="Roboto" w:hAnsi="Roboto" w:cs="Roboto"/>
      <w:b/>
      <w:color w:val="1F4E79"/>
      <w:sz w:val="28"/>
      <w:lang w:val="pt-PT" w:eastAsia="pt-PT"/>
    </w:rPr>
  </w:style>
  <w:style w:type="paragraph" w:styleId="Cabealho2">
    <w:name w:val="heading 2"/>
    <w:next w:val="Normal"/>
    <w:link w:val="Cabealho2Carter"/>
    <w:uiPriority w:val="9"/>
    <w:unhideWhenUsed/>
    <w:qFormat/>
    <w:rsid w:val="00963D3C"/>
    <w:pPr>
      <w:keepNext/>
      <w:keepLines/>
      <w:spacing w:after="175"/>
      <w:ind w:left="10" w:hanging="10"/>
      <w:outlineLvl w:val="1"/>
    </w:pPr>
    <w:rPr>
      <w:rFonts w:ascii="Roboto" w:eastAsia="Roboto" w:hAnsi="Roboto" w:cs="Roboto"/>
      <w:b/>
      <w:color w:val="2E74B5"/>
      <w:lang w:val="pt-PT" w:eastAsia="pt-PT"/>
    </w:rPr>
  </w:style>
  <w:style w:type="paragraph" w:styleId="Cabealho3">
    <w:name w:val="heading 3"/>
    <w:next w:val="Normal"/>
    <w:link w:val="Cabealho3Carter"/>
    <w:uiPriority w:val="9"/>
    <w:unhideWhenUsed/>
    <w:qFormat/>
    <w:rsid w:val="00963D3C"/>
    <w:pPr>
      <w:keepNext/>
      <w:keepLines/>
      <w:spacing w:after="155"/>
      <w:ind w:left="10" w:hanging="10"/>
      <w:outlineLvl w:val="2"/>
    </w:pPr>
    <w:rPr>
      <w:rFonts w:ascii="Roboto" w:eastAsia="Roboto" w:hAnsi="Roboto" w:cs="Roboto"/>
      <w:b/>
      <w:color w:val="2E74B5"/>
      <w:sz w:val="20"/>
      <w:lang w:val="pt-PT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963D3C"/>
    <w:rPr>
      <w:rFonts w:ascii="Roboto" w:eastAsia="Roboto" w:hAnsi="Roboto" w:cs="Roboto"/>
      <w:b/>
      <w:color w:val="1F4E79"/>
      <w:sz w:val="28"/>
      <w:lang w:val="pt-PT" w:eastAsia="pt-PT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963D3C"/>
    <w:rPr>
      <w:rFonts w:ascii="Roboto" w:eastAsia="Roboto" w:hAnsi="Roboto" w:cs="Roboto"/>
      <w:b/>
      <w:color w:val="2E74B5"/>
      <w:lang w:val="pt-PT" w:eastAsia="pt-PT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963D3C"/>
    <w:rPr>
      <w:rFonts w:ascii="Roboto" w:eastAsia="Roboto" w:hAnsi="Roboto" w:cs="Roboto"/>
      <w:b/>
      <w:color w:val="2E74B5"/>
      <w:sz w:val="20"/>
      <w:lang w:val="pt-PT" w:eastAsia="pt-PT"/>
    </w:rPr>
  </w:style>
  <w:style w:type="paragraph" w:styleId="Cabealho">
    <w:name w:val="header"/>
    <w:basedOn w:val="Normal"/>
    <w:link w:val="CabealhoCarter"/>
    <w:uiPriority w:val="99"/>
    <w:unhideWhenUsed/>
    <w:rsid w:val="00963D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63D3C"/>
    <w:rPr>
      <w:rFonts w:eastAsiaTheme="minorEastAsia"/>
    </w:rPr>
  </w:style>
  <w:style w:type="paragraph" w:styleId="Rodap">
    <w:name w:val="footer"/>
    <w:basedOn w:val="Normal"/>
    <w:link w:val="RodapCarter"/>
    <w:uiPriority w:val="99"/>
    <w:unhideWhenUsed/>
    <w:rsid w:val="00963D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63D3C"/>
    <w:rPr>
      <w:rFonts w:eastAsiaTheme="minorEastAsia"/>
    </w:rPr>
  </w:style>
  <w:style w:type="paragraph" w:styleId="PargrafodaLista">
    <w:name w:val="List Paragraph"/>
    <w:basedOn w:val="Normal"/>
    <w:uiPriority w:val="34"/>
    <w:qFormat/>
    <w:rsid w:val="00963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688</Words>
  <Characters>3928</Characters>
  <Application>Microsoft Office Word</Application>
  <DocSecurity>0</DocSecurity>
  <Lines>32</Lines>
  <Paragraphs>9</Paragraphs>
  <ScaleCrop>false</ScaleCrop>
  <Company/>
  <LinksUpToDate>false</LinksUpToDate>
  <CharactersWithSpaces>4607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Inês Oliveira</dc:creator>
  <cp:keywords/>
  <dc:description/>
  <cp:lastModifiedBy>Inês Oliveira</cp:lastModifiedBy>
  <cp:revision>13</cp:revision>
  <dcterms:created xsi:type="dcterms:W3CDTF">2021-11-08T15:36:00Z</dcterms:created>
  <dcterms:modified xsi:type="dcterms:W3CDTF">2021-11-12T11:42:00Z</dcterms:modified>
</cp:coreProperties>
</file>