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505" w:rsidRPr="000E3505" w:rsidRDefault="000E3505" w:rsidP="000E3505">
      <w:pPr>
        <w:spacing w:after="0" w:line="240" w:lineRule="auto"/>
        <w:jc w:val="center"/>
        <w:rPr>
          <w:rFonts w:ascii="Arial" w:eastAsia="Times New Roman" w:hAnsi="Arial" w:cs="Arial"/>
          <w:b/>
          <w:lang w:val="en-GB" w:eastAsia="pt-PT"/>
        </w:rPr>
      </w:pPr>
      <w:r w:rsidRPr="000E3505">
        <w:rPr>
          <w:rFonts w:ascii="Arial" w:eastAsia="Times New Roman" w:hAnsi="Arial" w:cs="Arial"/>
          <w:b/>
          <w:lang w:val="en-GB" w:eastAsia="pt-PT"/>
        </w:rPr>
        <w:t>Questions &amp; Answers</w:t>
      </w:r>
    </w:p>
    <w:p w:rsidR="000E3505" w:rsidRPr="000E3505" w:rsidRDefault="000E3505" w:rsidP="000E3505">
      <w:pPr>
        <w:spacing w:after="0" w:line="240" w:lineRule="auto"/>
        <w:jc w:val="center"/>
        <w:rPr>
          <w:rFonts w:ascii="Arial" w:eastAsia="Times New Roman" w:hAnsi="Arial" w:cs="Arial"/>
          <w:b/>
          <w:lang w:val="en-GB" w:eastAsia="pt-PT"/>
        </w:rPr>
      </w:pPr>
    </w:p>
    <w:p w:rsidR="000E3505" w:rsidRPr="00A11978" w:rsidRDefault="000E3505" w:rsidP="000E3505">
      <w:pPr>
        <w:spacing w:after="0" w:line="240" w:lineRule="auto"/>
        <w:jc w:val="center"/>
        <w:rPr>
          <w:rFonts w:ascii="Arial" w:eastAsia="Times New Roman" w:hAnsi="Arial" w:cs="Arial"/>
          <w:lang w:val="en-GB" w:eastAsia="pt-PT"/>
        </w:rPr>
      </w:pPr>
      <w:r w:rsidRPr="00A11978">
        <w:rPr>
          <w:rFonts w:ascii="Arial" w:eastAsia="Times New Roman" w:hAnsi="Arial" w:cs="Arial"/>
          <w:b/>
          <w:bCs/>
          <w:lang w:val="en-GB" w:eastAsia="pt-PT"/>
        </w:rPr>
        <w:t xml:space="preserve">The </w:t>
      </w:r>
      <w:proofErr w:type="gramStart"/>
      <w:r w:rsidRPr="00A11978">
        <w:rPr>
          <w:rFonts w:ascii="Arial" w:eastAsia="Times New Roman" w:hAnsi="Arial" w:cs="Arial"/>
          <w:b/>
          <w:bCs/>
          <w:lang w:val="en-GB" w:eastAsia="pt-PT"/>
        </w:rPr>
        <w:t>AdC</w:t>
      </w:r>
      <w:proofErr w:type="gramEnd"/>
      <w:r w:rsidRPr="00A11978">
        <w:rPr>
          <w:rFonts w:ascii="Arial" w:eastAsia="Times New Roman" w:hAnsi="Arial" w:cs="Arial"/>
          <w:b/>
          <w:bCs/>
          <w:lang w:val="en-GB" w:eastAsia="pt-PT"/>
        </w:rPr>
        <w:t xml:space="preserve"> imposed fines on supermarket chains and beverage supplier for price fixing, h</w:t>
      </w:r>
      <w:r>
        <w:rPr>
          <w:rFonts w:ascii="Arial" w:eastAsia="Times New Roman" w:hAnsi="Arial" w:cs="Arial"/>
          <w:b/>
          <w:bCs/>
          <w:lang w:val="en-GB" w:eastAsia="pt-PT"/>
        </w:rPr>
        <w:t>a</w:t>
      </w:r>
      <w:r w:rsidRPr="00A11978">
        <w:rPr>
          <w:rFonts w:ascii="Arial" w:eastAsia="Times New Roman" w:hAnsi="Arial" w:cs="Arial"/>
          <w:b/>
          <w:bCs/>
          <w:lang w:val="en-GB" w:eastAsia="pt-PT"/>
        </w:rPr>
        <w:t>rmful to consumers</w:t>
      </w:r>
    </w:p>
    <w:p w:rsidR="000E3505" w:rsidRPr="00A11978" w:rsidRDefault="000E3505" w:rsidP="000E3505">
      <w:pPr>
        <w:spacing w:after="0" w:line="240" w:lineRule="auto"/>
        <w:rPr>
          <w:rFonts w:ascii="Arial" w:eastAsia="Times New Roman" w:hAnsi="Arial" w:cs="Arial"/>
          <w:lang w:val="en-GB" w:eastAsia="pt-PT"/>
        </w:rPr>
      </w:pPr>
    </w:p>
    <w:p w:rsidR="000E3505" w:rsidRPr="00085ACB" w:rsidRDefault="000E3505" w:rsidP="000E3505">
      <w:pPr>
        <w:spacing w:after="0" w:line="240" w:lineRule="auto"/>
        <w:jc w:val="both"/>
        <w:rPr>
          <w:rFonts w:ascii="Arial" w:eastAsia="Times New Roman" w:hAnsi="Arial" w:cs="Arial"/>
          <w:lang w:val="en-GB" w:eastAsia="pt-PT"/>
        </w:rPr>
      </w:pPr>
    </w:p>
    <w:p w:rsidR="000E3505" w:rsidRPr="00131E61" w:rsidRDefault="000E3505" w:rsidP="000E3505">
      <w:pPr>
        <w:spacing w:after="0" w:line="240" w:lineRule="auto"/>
        <w:jc w:val="both"/>
        <w:rPr>
          <w:rFonts w:ascii="Arial" w:eastAsia="Times New Roman" w:hAnsi="Arial" w:cs="Arial"/>
          <w:lang w:val="en-GB" w:eastAsia="pt-PT"/>
        </w:rPr>
      </w:pPr>
    </w:p>
    <w:p w:rsidR="000E3505" w:rsidRPr="00131E61" w:rsidRDefault="000E3505" w:rsidP="000E3505">
      <w:pPr>
        <w:pStyle w:val="PargrafodaLista"/>
        <w:spacing w:after="0" w:line="240" w:lineRule="auto"/>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What is a hub-and-spoke practice? If SCC was responsible for the communication of prices, why are the supermarkets sanctioned as well?</w:t>
      </w:r>
    </w:p>
    <w:p w:rsidR="000E3505" w:rsidRPr="00085ACB" w:rsidRDefault="000E3505" w:rsidP="00085ACB">
      <w:pPr>
        <w:pStyle w:val="PargrafodaLista"/>
        <w:spacing w:after="0" w:line="360" w:lineRule="auto"/>
        <w:jc w:val="both"/>
        <w:rPr>
          <w:rFonts w:ascii="Arial" w:eastAsia="Times New Roman" w:hAnsi="Arial" w:cs="Arial"/>
          <w:lang w:val="en-GB" w:eastAsia="pt-PT"/>
        </w:rPr>
      </w:pPr>
    </w:p>
    <w:p w:rsidR="000E3505" w:rsidRPr="00131E61" w:rsidRDefault="000E3505" w:rsidP="00085ACB">
      <w:pPr>
        <w:pStyle w:val="PargrafodaLista"/>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A ‘hub-and-spoke’, generally referred to as ‘hub and spoke’ cartel, is an antitrust practice, and consists in the exchange of commercially sensitive information, in this case, prices, between competing distributors via a third party, a common supplier, and not between competitors, as usual in a cartel.</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There is a hub and spoke in a supplier-distributor relationship when the supplier acts as a ‘hub’ between the competing undertakings, the ‘spokes’, facilitating, promoting or guaranteeing the illicit collusion of commercial strategies and prices, thus constituting a serious restriction to competition.</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Thus, the supplier is instrumental in ensuring an alignment that favours supermarket chains and the supplier itself (in this case, SCC). The ultimate goal is to achieve this alignment and SCC's intervention was used as a means of avoiding direct contacts, which would result in a traditional cartel.</w:t>
      </w:r>
    </w:p>
    <w:p w:rsidR="000E3505" w:rsidRPr="00085ACB" w:rsidRDefault="000E3505"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p>
    <w:p w:rsidR="000E3505" w:rsidRPr="00131E61" w:rsidRDefault="000E3505" w:rsidP="00085ACB">
      <w:pPr>
        <w:pStyle w:val="PargrafodaLista"/>
        <w:spacing w:after="0" w:line="360" w:lineRule="auto"/>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Why are these practices not admissible? Is it not legitimate for a supplier and a distributor to agree on sales terms?</w:t>
      </w:r>
    </w:p>
    <w:p w:rsidR="000E3505" w:rsidRPr="00085ACB" w:rsidRDefault="000E3505" w:rsidP="00085ACB">
      <w:pPr>
        <w:pStyle w:val="PargrafodaLista"/>
        <w:spacing w:after="0" w:line="360" w:lineRule="auto"/>
        <w:jc w:val="both"/>
        <w:rPr>
          <w:rFonts w:ascii="Arial" w:eastAsia="Times New Roman" w:hAnsi="Arial" w:cs="Arial"/>
          <w:lang w:val="en-GB" w:eastAsia="pt-PT"/>
        </w:rPr>
      </w:pPr>
    </w:p>
    <w:p w:rsidR="00131E61" w:rsidRPr="00131E61" w:rsidRDefault="00131E61" w:rsidP="00131E61">
      <w:pPr>
        <w:spacing w:after="0" w:line="360" w:lineRule="auto"/>
        <w:jc w:val="both"/>
        <w:rPr>
          <w:rFonts w:ascii="Arial" w:eastAsia="Times New Roman" w:hAnsi="Arial" w:cs="Arial"/>
          <w:lang w:val="en-GB" w:eastAsia="pt-PT"/>
        </w:rPr>
      </w:pPr>
    </w:p>
    <w:p w:rsidR="00131E61" w:rsidRPr="00131E61" w:rsidRDefault="00131E61" w:rsidP="00131E61">
      <w:pPr>
        <w:spacing w:after="0" w:line="360" w:lineRule="auto"/>
        <w:jc w:val="both"/>
        <w:rPr>
          <w:rFonts w:ascii="Arial" w:eastAsia="Times New Roman" w:hAnsi="Arial" w:cs="Arial"/>
          <w:lang w:val="en-GB" w:eastAsia="pt-PT"/>
        </w:rPr>
      </w:pPr>
      <w:r w:rsidRPr="00131E61">
        <w:rPr>
          <w:rFonts w:ascii="Arial" w:eastAsia="Times New Roman" w:hAnsi="Arial" w:cs="Arial"/>
          <w:lang w:val="en-GB" w:eastAsia="pt-PT"/>
        </w:rPr>
        <w:t>The existence of contacts on commercial strategy between non-competing commercial partners - supplier and distributor - is in itself not illegal. It is, in fact, inherent in that type of partnership.</w:t>
      </w:r>
    </w:p>
    <w:p w:rsidR="00131E61" w:rsidRPr="00131E61" w:rsidRDefault="00131E61" w:rsidP="00131E61">
      <w:pPr>
        <w:spacing w:after="0" w:line="360" w:lineRule="auto"/>
        <w:jc w:val="both"/>
        <w:rPr>
          <w:rFonts w:ascii="Arial" w:eastAsia="Times New Roman" w:hAnsi="Arial" w:cs="Arial"/>
          <w:lang w:val="en-GB" w:eastAsia="pt-PT"/>
        </w:rPr>
      </w:pPr>
      <w:r w:rsidRPr="00131E61">
        <w:rPr>
          <w:rFonts w:ascii="Arial" w:eastAsia="Times New Roman" w:hAnsi="Arial" w:cs="Arial"/>
          <w:lang w:val="en-GB" w:eastAsia="pt-PT"/>
        </w:rPr>
        <w:t>Thus, discussions on appealing ways to store products in stores, design of distinctive and more innovative products that respond to the needs of consumers, promotional activity, negotiation of commercial conditions, mere recommendations for selling prices to the public, as well as other ways to make the supply more efficient, are lawful and acceptable practices within the scope of such a commercial relationship.</w:t>
      </w:r>
    </w:p>
    <w:p w:rsidR="009D7423" w:rsidRPr="00085ACB" w:rsidRDefault="009D7423" w:rsidP="009D7423">
      <w:pPr>
        <w:spacing w:after="0" w:line="360" w:lineRule="auto"/>
        <w:jc w:val="both"/>
        <w:rPr>
          <w:rFonts w:ascii="Arial" w:eastAsia="Times New Roman" w:hAnsi="Arial" w:cs="Arial"/>
          <w:lang w:val="en-GB" w:eastAsia="pt-PT"/>
        </w:rPr>
      </w:pPr>
      <w:r>
        <w:rPr>
          <w:rFonts w:ascii="Arial" w:eastAsia="Times New Roman" w:hAnsi="Arial" w:cs="Arial"/>
          <w:lang w:val="en-GB" w:eastAsia="pt-PT"/>
        </w:rPr>
        <w:lastRenderedPageBreak/>
        <w:t xml:space="preserve">However </w:t>
      </w:r>
      <w:r w:rsidRPr="00085ACB">
        <w:rPr>
          <w:rFonts w:ascii="Arial" w:eastAsia="Times New Roman" w:hAnsi="Arial" w:cs="Arial"/>
          <w:lang w:val="en-GB" w:eastAsia="pt-PT"/>
        </w:rPr>
        <w:t>the exchange of information between competing undertakings via a third party related to each one of them with the purpose of aligning strategies in the market is not a normal and lawful business relationship between companies.</w:t>
      </w:r>
    </w:p>
    <w:p w:rsidR="009D7423" w:rsidRPr="00085ACB" w:rsidRDefault="009D7423" w:rsidP="009D7423">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The practice in question exceeds the limits of what is acceptable in a supplier / distributor negotiation.</w:t>
      </w:r>
    </w:p>
    <w:p w:rsidR="000A4372" w:rsidRPr="00085ACB" w:rsidRDefault="000A4372" w:rsidP="000A4372">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In a competition environment, each economic agent defines </w:t>
      </w:r>
      <w:r>
        <w:rPr>
          <w:rFonts w:ascii="Arial" w:eastAsia="Times New Roman" w:hAnsi="Arial" w:cs="Arial"/>
          <w:lang w:val="en-GB" w:eastAsia="pt-PT"/>
        </w:rPr>
        <w:t xml:space="preserve">autonomously </w:t>
      </w:r>
      <w:r w:rsidRPr="00085ACB">
        <w:rPr>
          <w:rFonts w:ascii="Arial" w:eastAsia="Times New Roman" w:hAnsi="Arial" w:cs="Arial"/>
          <w:lang w:val="en-GB" w:eastAsia="pt-PT"/>
        </w:rPr>
        <w:t>its co</w:t>
      </w:r>
      <w:r>
        <w:rPr>
          <w:rFonts w:ascii="Arial" w:eastAsia="Times New Roman" w:hAnsi="Arial" w:cs="Arial"/>
          <w:lang w:val="en-GB" w:eastAsia="pt-PT"/>
        </w:rPr>
        <w:t>nduct on the market</w:t>
      </w:r>
      <w:r w:rsidRPr="00085ACB">
        <w:rPr>
          <w:rFonts w:ascii="Arial" w:eastAsia="Times New Roman" w:hAnsi="Arial" w:cs="Arial"/>
          <w:lang w:val="en-GB" w:eastAsia="pt-PT"/>
        </w:rPr>
        <w:t>. This request for autonomy in operating in the market (for example in terms of price determination) is directly opposed to any contact, direct or indirect, between companies, which is likely to influence a competitor's market behaviour.</w:t>
      </w:r>
    </w:p>
    <w:p w:rsidR="00131E61" w:rsidRDefault="00422E12" w:rsidP="00131E61">
      <w:pPr>
        <w:spacing w:after="0" w:line="360" w:lineRule="auto"/>
        <w:jc w:val="both"/>
        <w:rPr>
          <w:rFonts w:ascii="Arial" w:eastAsia="Times New Roman" w:hAnsi="Arial" w:cs="Arial"/>
          <w:lang w:val="en-GB" w:eastAsia="pt-PT"/>
        </w:rPr>
      </w:pPr>
      <w:r>
        <w:rPr>
          <w:rFonts w:ascii="Arial" w:eastAsia="Times New Roman" w:hAnsi="Arial" w:cs="Arial"/>
          <w:lang w:val="en-GB" w:eastAsia="pt-PT"/>
        </w:rPr>
        <w:t>On the contrary</w:t>
      </w:r>
      <w:r w:rsidR="00131E61" w:rsidRPr="00131E61">
        <w:rPr>
          <w:rFonts w:ascii="Arial" w:eastAsia="Times New Roman" w:hAnsi="Arial" w:cs="Arial"/>
          <w:lang w:val="en-GB" w:eastAsia="pt-PT"/>
        </w:rPr>
        <w:t>, a hub-and-spoke practice implies the</w:t>
      </w:r>
      <w:r>
        <w:rPr>
          <w:rFonts w:ascii="Arial" w:eastAsia="Times New Roman" w:hAnsi="Arial" w:cs="Arial"/>
          <w:lang w:val="en-GB" w:eastAsia="pt-PT"/>
        </w:rPr>
        <w:t xml:space="preserve"> exchange</w:t>
      </w:r>
      <w:r w:rsidR="00131E61" w:rsidRPr="00131E61">
        <w:rPr>
          <w:rFonts w:ascii="Arial" w:eastAsia="Times New Roman" w:hAnsi="Arial" w:cs="Arial"/>
          <w:lang w:val="en-GB" w:eastAsia="pt-PT"/>
        </w:rPr>
        <w:t xml:space="preserve"> of sensitive information, related to the present and future commercial strategy between companies and the dissemination of this information, indirectly, to competing companies, in order to condition their respective </w:t>
      </w:r>
      <w:r w:rsidR="00210539" w:rsidRPr="00131E61">
        <w:rPr>
          <w:rFonts w:ascii="Arial" w:eastAsia="Times New Roman" w:hAnsi="Arial" w:cs="Arial"/>
          <w:lang w:val="en-GB" w:eastAsia="pt-PT"/>
        </w:rPr>
        <w:t>behaviours</w:t>
      </w:r>
      <w:r w:rsidR="00131E61" w:rsidRPr="00131E61">
        <w:rPr>
          <w:rFonts w:ascii="Arial" w:eastAsia="Times New Roman" w:hAnsi="Arial" w:cs="Arial"/>
          <w:lang w:val="en-GB" w:eastAsia="pt-PT"/>
        </w:rPr>
        <w:t>.</w:t>
      </w:r>
    </w:p>
    <w:p w:rsidR="000A4372" w:rsidRDefault="00131E61" w:rsidP="00131E61">
      <w:pPr>
        <w:spacing w:after="0" w:line="360" w:lineRule="auto"/>
        <w:jc w:val="both"/>
        <w:rPr>
          <w:rFonts w:ascii="Arial" w:eastAsia="Times New Roman" w:hAnsi="Arial" w:cs="Arial"/>
          <w:lang w:val="en-GB" w:eastAsia="pt-PT"/>
        </w:rPr>
      </w:pPr>
      <w:r w:rsidRPr="00131E61">
        <w:rPr>
          <w:rFonts w:ascii="Arial" w:eastAsia="Times New Roman" w:hAnsi="Arial" w:cs="Arial"/>
          <w:lang w:val="en-GB" w:eastAsia="pt-PT"/>
        </w:rPr>
        <w:t>In the case of the hub-and-spoke now decided by the AdC, the communications were aimed at fixing the selling prices t</w:t>
      </w:r>
      <w:r w:rsidR="00210539">
        <w:rPr>
          <w:rFonts w:ascii="Arial" w:eastAsia="Times New Roman" w:hAnsi="Arial" w:cs="Arial"/>
          <w:lang w:val="en-GB" w:eastAsia="pt-PT"/>
        </w:rPr>
        <w:t xml:space="preserve">o the public </w:t>
      </w:r>
      <w:r w:rsidRPr="00131E61">
        <w:rPr>
          <w:rFonts w:ascii="Arial" w:eastAsia="Times New Roman" w:hAnsi="Arial" w:cs="Arial"/>
          <w:lang w:val="en-GB" w:eastAsia="pt-PT"/>
        </w:rPr>
        <w:t>of</w:t>
      </w:r>
      <w:r w:rsidR="00210539">
        <w:rPr>
          <w:rFonts w:ascii="Arial" w:eastAsia="Times New Roman" w:hAnsi="Arial" w:cs="Arial"/>
          <w:lang w:val="en-GB" w:eastAsia="pt-PT"/>
        </w:rPr>
        <w:t xml:space="preserve"> most of the</w:t>
      </w:r>
      <w:r w:rsidRPr="00131E61">
        <w:rPr>
          <w:rFonts w:ascii="Arial" w:eastAsia="Times New Roman" w:hAnsi="Arial" w:cs="Arial"/>
          <w:lang w:val="en-GB" w:eastAsia="pt-PT"/>
        </w:rPr>
        <w:t xml:space="preserve"> products from the supplier and, thus, promoting, guaranteeing or maintaining an alignment </w:t>
      </w:r>
      <w:r w:rsidR="009D7423">
        <w:rPr>
          <w:rFonts w:ascii="Arial" w:eastAsia="Times New Roman" w:hAnsi="Arial" w:cs="Arial"/>
          <w:lang w:val="en-GB" w:eastAsia="pt-PT"/>
        </w:rPr>
        <w:t>of these prices in the</w:t>
      </w:r>
      <w:r w:rsidRPr="00131E61">
        <w:rPr>
          <w:rFonts w:ascii="Arial" w:eastAsia="Times New Roman" w:hAnsi="Arial" w:cs="Arial"/>
          <w:lang w:val="en-GB" w:eastAsia="pt-PT"/>
        </w:rPr>
        <w:t xml:space="preserve"> food-based retail distribution market, with </w:t>
      </w:r>
      <w:r w:rsidR="009D7423">
        <w:rPr>
          <w:rFonts w:ascii="Arial" w:eastAsia="Times New Roman" w:hAnsi="Arial" w:cs="Arial"/>
          <w:lang w:val="en-GB" w:eastAsia="pt-PT"/>
        </w:rPr>
        <w:t xml:space="preserve">the purpose of making them rise, </w:t>
      </w:r>
      <w:r w:rsidRPr="00131E61">
        <w:rPr>
          <w:rFonts w:ascii="Arial" w:eastAsia="Times New Roman" w:hAnsi="Arial" w:cs="Arial"/>
          <w:lang w:val="en-GB" w:eastAsia="pt-PT"/>
        </w:rPr>
        <w:t>gradual</w:t>
      </w:r>
      <w:r w:rsidR="009D7423">
        <w:rPr>
          <w:rFonts w:ascii="Arial" w:eastAsia="Times New Roman" w:hAnsi="Arial" w:cs="Arial"/>
          <w:lang w:val="en-GB" w:eastAsia="pt-PT"/>
        </w:rPr>
        <w:t xml:space="preserve">ly </w:t>
      </w:r>
      <w:r w:rsidRPr="00131E61">
        <w:rPr>
          <w:rFonts w:ascii="Arial" w:eastAsia="Times New Roman" w:hAnsi="Arial" w:cs="Arial"/>
          <w:lang w:val="en-GB" w:eastAsia="pt-PT"/>
        </w:rPr>
        <w:t>progressive</w:t>
      </w:r>
      <w:r w:rsidR="009D7423">
        <w:rPr>
          <w:rFonts w:ascii="Arial" w:eastAsia="Times New Roman" w:hAnsi="Arial" w:cs="Arial"/>
          <w:lang w:val="en-GB" w:eastAsia="pt-PT"/>
        </w:rPr>
        <w:t xml:space="preserve">ly, </w:t>
      </w:r>
      <w:r w:rsidRPr="00131E61">
        <w:rPr>
          <w:rFonts w:ascii="Arial" w:eastAsia="Times New Roman" w:hAnsi="Arial" w:cs="Arial"/>
          <w:lang w:val="en-GB" w:eastAsia="pt-PT"/>
        </w:rPr>
        <w:t>over a certain period of time.</w:t>
      </w:r>
    </w:p>
    <w:p w:rsidR="000E3505" w:rsidRDefault="00131E61" w:rsidP="00131E61">
      <w:pPr>
        <w:spacing w:after="0" w:line="360" w:lineRule="auto"/>
        <w:jc w:val="both"/>
        <w:rPr>
          <w:rFonts w:ascii="Arial" w:eastAsia="Times New Roman" w:hAnsi="Arial" w:cs="Arial"/>
          <w:lang w:val="en-GB" w:eastAsia="pt-PT"/>
        </w:rPr>
      </w:pPr>
      <w:r w:rsidRPr="00131E61">
        <w:rPr>
          <w:rFonts w:ascii="Arial" w:eastAsia="Times New Roman" w:hAnsi="Arial" w:cs="Arial"/>
          <w:lang w:val="en-GB" w:eastAsia="pt-PT"/>
        </w:rPr>
        <w:t xml:space="preserve"> As well as threats, retaliations, pressures and conditional discounts (both from the supplier and the distributors) were addressed to companies that resisted or deviated from this alignment, which is neither admissible nor lawful.</w:t>
      </w:r>
    </w:p>
    <w:p w:rsidR="000E3505" w:rsidRPr="00085ACB" w:rsidRDefault="000E3505" w:rsidP="00085ACB">
      <w:pPr>
        <w:pStyle w:val="PargrafodaLista"/>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ind w:left="360"/>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What is the motivation of undertakings for participating in a hub and spoke?</w:t>
      </w:r>
    </w:p>
    <w:p w:rsidR="000E3505" w:rsidRPr="00085ACB" w:rsidRDefault="000E3505" w:rsidP="00085ACB">
      <w:pPr>
        <w:pStyle w:val="PargrafodaLista"/>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The motivations of each of the companies participating in a hub-and-spoke can be diverse, but they are all oriented towards a common objective: to be </w:t>
      </w:r>
      <w:r w:rsidR="003036CA" w:rsidRPr="00085ACB">
        <w:rPr>
          <w:rFonts w:ascii="Arial" w:eastAsia="Times New Roman" w:hAnsi="Arial" w:cs="Arial"/>
          <w:lang w:val="en-GB" w:eastAsia="pt-PT"/>
        </w:rPr>
        <w:t>favoured</w:t>
      </w:r>
      <w:r w:rsidRPr="00085ACB">
        <w:rPr>
          <w:rFonts w:ascii="Arial" w:eastAsia="Times New Roman" w:hAnsi="Arial" w:cs="Arial"/>
          <w:lang w:val="en-GB" w:eastAsia="pt-PT"/>
        </w:rPr>
        <w:t xml:space="preserve"> by decreasing the competitive dynamics by controlling the market </w:t>
      </w:r>
      <w:r w:rsidR="003036CA" w:rsidRPr="00085ACB">
        <w:rPr>
          <w:rFonts w:ascii="Arial" w:eastAsia="Times New Roman" w:hAnsi="Arial" w:cs="Arial"/>
          <w:lang w:val="en-GB" w:eastAsia="pt-PT"/>
        </w:rPr>
        <w:t>behaviour</w:t>
      </w:r>
      <w:r w:rsidRPr="00085ACB">
        <w:rPr>
          <w:rFonts w:ascii="Arial" w:eastAsia="Times New Roman" w:hAnsi="Arial" w:cs="Arial"/>
          <w:lang w:val="en-GB" w:eastAsia="pt-PT"/>
        </w:rPr>
        <w:t xml:space="preserve"> of all the involved. </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On the one hand, suppliers try to fix the price of their products at an artificially higher level, so that they are not subject to contractual renegotiations by the distribution companies and can maintain the margin that they idealized in the sale of their products. On the other hand, distribution companies eliminate the uncertainty associated to a “price war”, guarantee the expectation of receiving a certain margin in the sale to the public and sell the products at a higher price than what would result from a market operating in undistorted competition.</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lastRenderedPageBreak/>
        <w:t>Consumers are harmed, with no possibility of choosing the product for the price, not benefiting from the lower prices that would result from the competitive functioning of the market.</w:t>
      </w:r>
    </w:p>
    <w:p w:rsidR="00085ACB" w:rsidRPr="00085ACB" w:rsidRDefault="00085ACB" w:rsidP="00085ACB">
      <w:pPr>
        <w:spacing w:after="0" w:line="360" w:lineRule="auto"/>
        <w:jc w:val="both"/>
        <w:rPr>
          <w:rFonts w:ascii="Arial" w:eastAsia="Times New Roman" w:hAnsi="Arial" w:cs="Arial"/>
          <w:lang w:val="en-GB" w:eastAsia="pt-PT"/>
        </w:rPr>
      </w:pPr>
    </w:p>
    <w:p w:rsidR="000E3505" w:rsidRPr="00085ACB" w:rsidRDefault="000E3505" w:rsidP="00085ACB">
      <w:pPr>
        <w:pStyle w:val="PargrafodaLista"/>
        <w:spacing w:after="0" w:line="360" w:lineRule="auto"/>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What is the impact of this practice on the consumer and how is it affected?</w:t>
      </w:r>
    </w:p>
    <w:p w:rsidR="000E3505" w:rsidRPr="00085ACB" w:rsidRDefault="000E3505"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As said before, each economic agent should define in an autonomous way the strategy in the market</w:t>
      </w:r>
      <w:r w:rsidR="003036CA">
        <w:rPr>
          <w:rFonts w:ascii="Arial" w:eastAsia="Times New Roman" w:hAnsi="Arial" w:cs="Arial"/>
          <w:lang w:val="en-GB" w:eastAsia="pt-PT"/>
        </w:rPr>
        <w:t>,</w:t>
      </w:r>
      <w:r w:rsidRPr="00085ACB">
        <w:rPr>
          <w:rFonts w:ascii="Arial" w:eastAsia="Times New Roman" w:hAnsi="Arial" w:cs="Arial"/>
          <w:lang w:val="en-GB" w:eastAsia="pt-PT"/>
        </w:rPr>
        <w:t xml:space="preserve"> to guarantee competition and consumers’ welfare.</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A competitive market allows consumers to obtain lower prices, higher quality of goods and services, greater choice among products that offer better value for money, more innovation and also the strengthening of the external competitiveness of agents.</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This form of coordination of </w:t>
      </w:r>
      <w:r w:rsidR="00085ACB" w:rsidRPr="00085ACB">
        <w:rPr>
          <w:rFonts w:ascii="Arial" w:eastAsia="Times New Roman" w:hAnsi="Arial" w:cs="Arial"/>
          <w:lang w:val="en-GB" w:eastAsia="pt-PT"/>
        </w:rPr>
        <w:t>behaviour</w:t>
      </w:r>
      <w:r w:rsidRPr="00085ACB">
        <w:rPr>
          <w:rFonts w:ascii="Arial" w:eastAsia="Times New Roman" w:hAnsi="Arial" w:cs="Arial"/>
          <w:lang w:val="en-GB" w:eastAsia="pt-PT"/>
        </w:rPr>
        <w:t xml:space="preserve"> in the market - as, indeed, any other form of collusion between competitors - involves a high degree of harmfulness to competition, as it causes a reduction in production, division in the market and price increases, leading to the poor allocation of resources to the detriment of consumers.</w:t>
      </w:r>
    </w:p>
    <w:p w:rsidR="00085ACB" w:rsidRPr="00085ACB" w:rsidRDefault="00085ACB"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eastAsia="pt-PT"/>
        </w:rPr>
      </w:pPr>
      <w:r w:rsidRPr="00085ACB">
        <w:rPr>
          <w:rFonts w:ascii="Arial" w:eastAsia="Times New Roman" w:hAnsi="Arial" w:cs="Arial"/>
          <w:lang w:val="en-GB" w:eastAsia="pt-PT"/>
        </w:rPr>
        <w:t>If the practice has occur</w:t>
      </w:r>
      <w:r w:rsidR="003036CA">
        <w:rPr>
          <w:rFonts w:ascii="Arial" w:eastAsia="Times New Roman" w:hAnsi="Arial" w:cs="Arial"/>
          <w:lang w:val="en-GB" w:eastAsia="pt-PT"/>
        </w:rPr>
        <w:t xml:space="preserve">red since 2008, why does the </w:t>
      </w:r>
      <w:proofErr w:type="gramStart"/>
      <w:r w:rsidR="003036CA">
        <w:rPr>
          <w:rFonts w:ascii="Arial" w:eastAsia="Times New Roman" w:hAnsi="Arial" w:cs="Arial"/>
          <w:lang w:val="en-GB" w:eastAsia="pt-PT"/>
        </w:rPr>
        <w:t>AdC</w:t>
      </w:r>
      <w:proofErr w:type="gramEnd"/>
      <w:r w:rsidR="003036CA">
        <w:rPr>
          <w:rFonts w:ascii="Arial" w:eastAsia="Times New Roman" w:hAnsi="Arial" w:cs="Arial"/>
          <w:lang w:val="en-GB" w:eastAsia="pt-PT"/>
        </w:rPr>
        <w:t xml:space="preserve"> </w:t>
      </w:r>
      <w:r w:rsidRPr="00085ACB">
        <w:rPr>
          <w:rFonts w:ascii="Arial" w:eastAsia="Times New Roman" w:hAnsi="Arial" w:cs="Arial"/>
          <w:lang w:val="en-GB" w:eastAsia="pt-PT"/>
        </w:rPr>
        <w:t xml:space="preserve">only now sanction it? </w:t>
      </w:r>
      <w:r w:rsidRPr="00085ACB">
        <w:rPr>
          <w:rFonts w:ascii="Arial" w:eastAsia="Times New Roman" w:hAnsi="Arial" w:cs="Arial"/>
          <w:lang w:eastAsia="pt-PT"/>
        </w:rPr>
        <w:t xml:space="preserve">Is </w:t>
      </w:r>
      <w:proofErr w:type="spellStart"/>
      <w:r w:rsidRPr="00085ACB">
        <w:rPr>
          <w:rFonts w:ascii="Arial" w:eastAsia="Times New Roman" w:hAnsi="Arial" w:cs="Arial"/>
          <w:lang w:eastAsia="pt-PT"/>
        </w:rPr>
        <w:t>it</w:t>
      </w:r>
      <w:proofErr w:type="spellEnd"/>
      <w:r w:rsidRPr="00085ACB">
        <w:rPr>
          <w:rFonts w:ascii="Arial" w:eastAsia="Times New Roman" w:hAnsi="Arial" w:cs="Arial"/>
          <w:lang w:eastAsia="pt-PT"/>
        </w:rPr>
        <w:t xml:space="preserve"> </w:t>
      </w:r>
      <w:proofErr w:type="spellStart"/>
      <w:r w:rsidRPr="00085ACB">
        <w:rPr>
          <w:rFonts w:ascii="Arial" w:eastAsia="Times New Roman" w:hAnsi="Arial" w:cs="Arial"/>
          <w:lang w:eastAsia="pt-PT"/>
        </w:rPr>
        <w:t>difficult</w:t>
      </w:r>
      <w:proofErr w:type="spellEnd"/>
      <w:r w:rsidRPr="00085ACB">
        <w:rPr>
          <w:rFonts w:ascii="Arial" w:eastAsia="Times New Roman" w:hAnsi="Arial" w:cs="Arial"/>
          <w:lang w:eastAsia="pt-PT"/>
        </w:rPr>
        <w:t xml:space="preserve"> to </w:t>
      </w:r>
      <w:proofErr w:type="spellStart"/>
      <w:r w:rsidRPr="00085ACB">
        <w:rPr>
          <w:rFonts w:ascii="Arial" w:eastAsia="Times New Roman" w:hAnsi="Arial" w:cs="Arial"/>
          <w:lang w:eastAsia="pt-PT"/>
        </w:rPr>
        <w:t>detect</w:t>
      </w:r>
      <w:proofErr w:type="spellEnd"/>
      <w:r w:rsidRPr="00085ACB">
        <w:rPr>
          <w:rFonts w:ascii="Arial" w:eastAsia="Times New Roman" w:hAnsi="Arial" w:cs="Arial"/>
          <w:lang w:eastAsia="pt-PT"/>
        </w:rPr>
        <w:t xml:space="preserve"> </w:t>
      </w:r>
      <w:proofErr w:type="spellStart"/>
      <w:r w:rsidRPr="00085ACB">
        <w:rPr>
          <w:rFonts w:ascii="Arial" w:eastAsia="Times New Roman" w:hAnsi="Arial" w:cs="Arial"/>
          <w:lang w:eastAsia="pt-PT"/>
        </w:rPr>
        <w:t>this</w:t>
      </w:r>
      <w:proofErr w:type="spellEnd"/>
      <w:r w:rsidRPr="00085ACB">
        <w:rPr>
          <w:rFonts w:ascii="Arial" w:eastAsia="Times New Roman" w:hAnsi="Arial" w:cs="Arial"/>
          <w:lang w:eastAsia="pt-PT"/>
        </w:rPr>
        <w:t xml:space="preserve"> </w:t>
      </w:r>
      <w:proofErr w:type="spellStart"/>
      <w:r w:rsidRPr="00085ACB">
        <w:rPr>
          <w:rFonts w:ascii="Arial" w:eastAsia="Times New Roman" w:hAnsi="Arial" w:cs="Arial"/>
          <w:lang w:eastAsia="pt-PT"/>
        </w:rPr>
        <w:t>type</w:t>
      </w:r>
      <w:proofErr w:type="spellEnd"/>
      <w:r w:rsidRPr="00085ACB">
        <w:rPr>
          <w:rFonts w:ascii="Arial" w:eastAsia="Times New Roman" w:hAnsi="Arial" w:cs="Arial"/>
          <w:lang w:eastAsia="pt-PT"/>
        </w:rPr>
        <w:t xml:space="preserve"> </w:t>
      </w:r>
      <w:proofErr w:type="spellStart"/>
      <w:r w:rsidRPr="00085ACB">
        <w:rPr>
          <w:rFonts w:ascii="Arial" w:eastAsia="Times New Roman" w:hAnsi="Arial" w:cs="Arial"/>
          <w:lang w:eastAsia="pt-PT"/>
        </w:rPr>
        <w:t>of</w:t>
      </w:r>
      <w:proofErr w:type="spellEnd"/>
      <w:r w:rsidRPr="00085ACB">
        <w:rPr>
          <w:rFonts w:ascii="Arial" w:eastAsia="Times New Roman" w:hAnsi="Arial" w:cs="Arial"/>
          <w:lang w:eastAsia="pt-PT"/>
        </w:rPr>
        <w:t xml:space="preserve"> </w:t>
      </w:r>
      <w:proofErr w:type="spellStart"/>
      <w:r w:rsidRPr="00085ACB">
        <w:rPr>
          <w:rFonts w:ascii="Arial" w:eastAsia="Times New Roman" w:hAnsi="Arial" w:cs="Arial"/>
          <w:lang w:eastAsia="pt-PT"/>
        </w:rPr>
        <w:t>practice</w:t>
      </w:r>
      <w:proofErr w:type="spellEnd"/>
      <w:r w:rsidRPr="00085ACB">
        <w:rPr>
          <w:rFonts w:ascii="Arial" w:eastAsia="Times New Roman" w:hAnsi="Arial" w:cs="Arial"/>
          <w:lang w:eastAsia="pt-PT"/>
        </w:rPr>
        <w:t>?</w:t>
      </w:r>
    </w:p>
    <w:p w:rsidR="000E3505" w:rsidRPr="00085ACB" w:rsidRDefault="000E3505" w:rsidP="00085ACB">
      <w:pPr>
        <w:spacing w:after="0" w:line="360" w:lineRule="auto"/>
        <w:jc w:val="both"/>
        <w:rPr>
          <w:rFonts w:ascii="Arial" w:eastAsia="Times New Roman" w:hAnsi="Arial" w:cs="Arial"/>
          <w:lang w:eastAsia="pt-PT"/>
        </w:rPr>
      </w:pPr>
    </w:p>
    <w:p w:rsidR="000E3505" w:rsidRPr="00085ACB" w:rsidRDefault="000E3505" w:rsidP="00085ACB">
      <w:pPr>
        <w:spacing w:after="0" w:line="360" w:lineRule="auto"/>
        <w:jc w:val="both"/>
        <w:rPr>
          <w:rFonts w:ascii="Arial" w:eastAsia="Times New Roman" w:hAnsi="Arial" w:cs="Arial"/>
          <w:lang w:eastAsia="pt-PT"/>
        </w:rPr>
      </w:pP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Cartel practices, or equivalents, are secret by definition, and so difficult to prove. During the </w:t>
      </w:r>
      <w:proofErr w:type="spellStart"/>
      <w:proofErr w:type="gramStart"/>
      <w:r w:rsidRPr="00085ACB">
        <w:rPr>
          <w:rFonts w:ascii="Arial" w:eastAsia="Times New Roman" w:hAnsi="Arial" w:cs="Arial"/>
          <w:lang w:val="en-GB" w:eastAsia="pt-PT"/>
        </w:rPr>
        <w:t>AdC’s</w:t>
      </w:r>
      <w:proofErr w:type="spellEnd"/>
      <w:proofErr w:type="gramEnd"/>
      <w:r w:rsidRPr="00085ACB">
        <w:rPr>
          <w:rFonts w:ascii="Arial" w:eastAsia="Times New Roman" w:hAnsi="Arial" w:cs="Arial"/>
          <w:lang w:val="en-GB" w:eastAsia="pt-PT"/>
        </w:rPr>
        <w:t xml:space="preserve"> investigation, evidence showed that the involved undertakings were conscious of the infringement,</w:t>
      </w:r>
      <w:r w:rsidRPr="00085ACB">
        <w:rPr>
          <w:lang w:val="en-GB"/>
        </w:rPr>
        <w:t xml:space="preserve"> </w:t>
      </w:r>
      <w:r w:rsidR="003036CA">
        <w:rPr>
          <w:rFonts w:ascii="Arial" w:eastAsia="Times New Roman" w:hAnsi="Arial" w:cs="Arial"/>
          <w:lang w:val="en-GB" w:eastAsia="pt-PT"/>
        </w:rPr>
        <w:t>showing this in</w:t>
      </w:r>
      <w:r w:rsidRPr="00085ACB">
        <w:rPr>
          <w:rFonts w:ascii="Arial" w:eastAsia="Times New Roman" w:hAnsi="Arial" w:cs="Arial"/>
          <w:lang w:val="en-GB" w:eastAsia="pt-PT"/>
        </w:rPr>
        <w:t xml:space="preserve"> communications calling for the destruction of evidence. </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During the unannounced inspections that 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xml:space="preserve"> carried out in 2017 at more than 40 facilities of large distribution and suppliers across the country, evidence of this practice was seized and it was found that it went back to 2008.</w:t>
      </w: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These unannounced inspections led to the ope</w:t>
      </w:r>
      <w:r w:rsidR="00D62316">
        <w:rPr>
          <w:rFonts w:ascii="Arial" w:eastAsia="Times New Roman" w:hAnsi="Arial" w:cs="Arial"/>
          <w:lang w:val="en-GB" w:eastAsia="pt-PT"/>
        </w:rPr>
        <w:t xml:space="preserve">ning of more than a dozen investigations </w:t>
      </w:r>
      <w:r w:rsidRPr="00085ACB">
        <w:rPr>
          <w:rFonts w:ascii="Arial" w:eastAsia="Times New Roman" w:hAnsi="Arial" w:cs="Arial"/>
          <w:lang w:val="en-GB" w:eastAsia="pt-PT"/>
        </w:rPr>
        <w:t xml:space="preserve">by 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In the present case, the Statement of Objections was issued in 2019 and the respective final decision in 2020, despite the high litigation of companies in the administrative phase of the process.</w:t>
      </w:r>
    </w:p>
    <w:p w:rsidR="000E3505" w:rsidRPr="00085ACB" w:rsidRDefault="000E3505" w:rsidP="00085ACB">
      <w:pPr>
        <w:pStyle w:val="PargrafodaLista"/>
        <w:spacing w:after="0" w:line="360" w:lineRule="auto"/>
        <w:jc w:val="both"/>
        <w:rPr>
          <w:rFonts w:ascii="Arial" w:eastAsia="Times New Roman" w:hAnsi="Arial" w:cs="Arial"/>
          <w:lang w:val="en-GB" w:eastAsia="pt-PT"/>
        </w:rPr>
      </w:pPr>
    </w:p>
    <w:p w:rsidR="000E3505" w:rsidRPr="00131E61" w:rsidRDefault="000E3505" w:rsidP="00085ACB">
      <w:pPr>
        <w:pStyle w:val="PargrafodaLista"/>
        <w:spacing w:after="0" w:line="360" w:lineRule="auto"/>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What i</w:t>
      </w:r>
      <w:r w:rsidR="00D62316">
        <w:rPr>
          <w:rFonts w:ascii="Arial" w:eastAsia="Times New Roman" w:hAnsi="Arial" w:cs="Arial"/>
          <w:lang w:val="en-GB" w:eastAsia="pt-PT"/>
        </w:rPr>
        <w:t xml:space="preserve">s the consequence </w:t>
      </w:r>
      <w:r w:rsidRPr="00085ACB">
        <w:rPr>
          <w:rFonts w:ascii="Arial" w:eastAsia="Times New Roman" w:hAnsi="Arial" w:cs="Arial"/>
          <w:lang w:val="en-GB" w:eastAsia="pt-PT"/>
        </w:rPr>
        <w:t>of involvement in this type of practice</w:t>
      </w:r>
      <w:r w:rsidR="00D62316">
        <w:rPr>
          <w:rFonts w:ascii="Arial" w:eastAsia="Times New Roman" w:hAnsi="Arial" w:cs="Arial"/>
          <w:lang w:val="en-GB" w:eastAsia="pt-PT"/>
        </w:rPr>
        <w:t xml:space="preserve"> for companies</w:t>
      </w:r>
      <w:r w:rsidRPr="00085ACB">
        <w:rPr>
          <w:rFonts w:ascii="Arial" w:eastAsia="Times New Roman" w:hAnsi="Arial" w:cs="Arial"/>
          <w:lang w:val="en-GB" w:eastAsia="pt-PT"/>
        </w:rPr>
        <w:t>?</w:t>
      </w:r>
    </w:p>
    <w:p w:rsidR="000E3505" w:rsidRPr="00085ACB" w:rsidRDefault="000E3505" w:rsidP="00085ACB">
      <w:pPr>
        <w:spacing w:after="0" w:line="360" w:lineRule="auto"/>
        <w:jc w:val="both"/>
        <w:rPr>
          <w:rFonts w:ascii="Arial" w:eastAsia="Times New Roman" w:hAnsi="Arial" w:cs="Arial"/>
          <w:lang w:val="en-GB" w:eastAsia="pt-PT"/>
        </w:rPr>
      </w:pPr>
    </w:p>
    <w:p w:rsidR="000E3505" w:rsidRPr="00D62316" w:rsidRDefault="000E3505"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When the involvement in this type of practice is </w:t>
      </w:r>
      <w:r w:rsidR="00D62316" w:rsidRPr="00085ACB">
        <w:rPr>
          <w:rFonts w:ascii="Arial" w:eastAsia="Times New Roman" w:hAnsi="Arial" w:cs="Arial"/>
          <w:lang w:val="en-GB" w:eastAsia="pt-PT"/>
        </w:rPr>
        <w:t>established</w:t>
      </w:r>
      <w:r w:rsidRPr="00085ACB">
        <w:rPr>
          <w:rFonts w:ascii="Arial" w:eastAsia="Times New Roman" w:hAnsi="Arial" w:cs="Arial"/>
          <w:lang w:val="en-GB" w:eastAsia="pt-PT"/>
        </w:rPr>
        <w:t xml:space="preserve">, as happened in the case now decided by 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xml:space="preserve">, this constitutes an </w:t>
      </w:r>
      <w:r w:rsidR="00D62316">
        <w:rPr>
          <w:rFonts w:ascii="Arial" w:eastAsia="Times New Roman" w:hAnsi="Arial" w:cs="Arial"/>
          <w:lang w:val="en-GB" w:eastAsia="pt-PT"/>
        </w:rPr>
        <w:t xml:space="preserve">infringement to Competition Law, </w:t>
      </w:r>
      <w:r w:rsidRPr="00085ACB">
        <w:rPr>
          <w:rFonts w:ascii="Arial" w:eastAsia="Times New Roman" w:hAnsi="Arial" w:cs="Arial"/>
          <w:lang w:val="en-GB" w:eastAsia="pt-PT"/>
        </w:rPr>
        <w:t>punishable by a fine, which cannot exceed 10% of the t</w:t>
      </w:r>
      <w:r w:rsidR="00D62316">
        <w:rPr>
          <w:rFonts w:ascii="Arial" w:eastAsia="Times New Roman" w:hAnsi="Arial" w:cs="Arial"/>
          <w:lang w:val="en-GB" w:eastAsia="pt-PT"/>
        </w:rPr>
        <w:t xml:space="preserve">urnover achieved by each </w:t>
      </w:r>
      <w:r w:rsidRPr="00085ACB">
        <w:rPr>
          <w:rFonts w:ascii="Arial" w:eastAsia="Times New Roman" w:hAnsi="Arial" w:cs="Arial"/>
          <w:lang w:val="en-GB" w:eastAsia="pt-PT"/>
        </w:rPr>
        <w:t>company in the year immediately preceding the final decision.</w:t>
      </w:r>
    </w:p>
    <w:p w:rsidR="000E3505"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The fines to be imposed are decided on the basis of the Competition Law and the </w:t>
      </w:r>
      <w:hyperlink r:id="rId7" w:history="1">
        <w:r w:rsidRPr="00605F40">
          <w:rPr>
            <w:rStyle w:val="Hiperligao"/>
            <w:rFonts w:ascii="Arial" w:eastAsia="Times New Roman" w:hAnsi="Arial" w:cs="Arial"/>
            <w:lang w:val="en-GB" w:eastAsia="pt-PT"/>
          </w:rPr>
          <w:t>Guidelines for the Application of Fines</w:t>
        </w:r>
      </w:hyperlink>
      <w:r w:rsidRPr="00085ACB">
        <w:rPr>
          <w:rFonts w:ascii="Arial" w:eastAsia="Times New Roman" w:hAnsi="Arial" w:cs="Arial"/>
          <w:lang w:val="en-GB" w:eastAsia="pt-PT"/>
        </w:rPr>
        <w:t xml:space="preserve"> [in Portuguese].</w:t>
      </w:r>
    </w:p>
    <w:p w:rsidR="000E3505" w:rsidRPr="00085ACB" w:rsidRDefault="000E3505" w:rsidP="00085ACB">
      <w:pPr>
        <w:spacing w:line="360" w:lineRule="auto"/>
        <w:rPr>
          <w:rFonts w:ascii="Arial" w:eastAsia="Times New Roman" w:hAnsi="Arial" w:cs="Arial"/>
          <w:lang w:val="en-GB" w:eastAsia="pt-PT"/>
        </w:rPr>
      </w:pPr>
      <w:r w:rsidRPr="00085ACB">
        <w:rPr>
          <w:rFonts w:ascii="Arial" w:eastAsia="Times New Roman" w:hAnsi="Arial" w:cs="Arial"/>
          <w:lang w:val="en-GB" w:eastAsia="pt-PT"/>
        </w:rPr>
        <w:t xml:space="preserve">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xml:space="preserve"> also imposed to all the involved undertakings an immediate cessation of the practice.</w:t>
      </w:r>
    </w:p>
    <w:p w:rsidR="000E3505" w:rsidRPr="00085ACB" w:rsidRDefault="000E3505" w:rsidP="00085ACB">
      <w:pPr>
        <w:pStyle w:val="PargrafodaLista"/>
        <w:spacing w:after="0" w:line="360" w:lineRule="auto"/>
        <w:ind w:left="1440"/>
        <w:jc w:val="both"/>
        <w:rPr>
          <w:rFonts w:ascii="Arial" w:eastAsia="Times New Roman" w:hAnsi="Arial" w:cs="Arial"/>
          <w:lang w:val="en-GB" w:eastAsia="pt-PT"/>
        </w:rPr>
      </w:pPr>
    </w:p>
    <w:p w:rsidR="000E3505" w:rsidRPr="00085ACB" w:rsidRDefault="000E3505" w:rsidP="00085ACB">
      <w:pPr>
        <w:pStyle w:val="PargrafodaLista"/>
        <w:numPr>
          <w:ilvl w:val="0"/>
          <w:numId w:val="4"/>
        </w:num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In addition to the fines, 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xml:space="preserve"> imposed an immediate cessation of the practice. How does 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xml:space="preserve"> impose the cessation of this practice?</w:t>
      </w:r>
    </w:p>
    <w:p w:rsidR="00085ACB" w:rsidRPr="00085ACB" w:rsidRDefault="00085ACB" w:rsidP="00085ACB">
      <w:pPr>
        <w:spacing w:after="0" w:line="360" w:lineRule="auto"/>
        <w:jc w:val="both"/>
        <w:rPr>
          <w:rFonts w:ascii="Arial" w:eastAsia="Times New Roman" w:hAnsi="Arial" w:cs="Arial"/>
          <w:lang w:val="en-GB" w:eastAsia="pt-PT"/>
        </w:rPr>
      </w:pPr>
    </w:p>
    <w:p w:rsidR="000E3505" w:rsidRPr="00085ACB"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 xml:space="preserve">In the event of failure to comply with the decision to cease the practice, the </w:t>
      </w:r>
      <w:proofErr w:type="gramStart"/>
      <w:r w:rsidRPr="00085ACB">
        <w:rPr>
          <w:rFonts w:ascii="Arial" w:eastAsia="Times New Roman" w:hAnsi="Arial" w:cs="Arial"/>
          <w:lang w:val="en-GB" w:eastAsia="pt-PT"/>
        </w:rPr>
        <w:t>AdC</w:t>
      </w:r>
      <w:proofErr w:type="gramEnd"/>
      <w:r w:rsidRPr="00085ACB">
        <w:rPr>
          <w:rFonts w:ascii="Arial" w:eastAsia="Times New Roman" w:hAnsi="Arial" w:cs="Arial"/>
          <w:lang w:val="en-GB" w:eastAsia="pt-PT"/>
        </w:rPr>
        <w:t xml:space="preserve"> may impose a penalty payment of no more than 5% of the daily average of the company's turnover in the year immediately preceding the decision, per day of delay, from the date of notification.</w:t>
      </w:r>
    </w:p>
    <w:p w:rsidR="000E3505" w:rsidRDefault="000E3505" w:rsidP="00085ACB">
      <w:pPr>
        <w:spacing w:after="0" w:line="360" w:lineRule="auto"/>
        <w:jc w:val="both"/>
        <w:rPr>
          <w:rFonts w:ascii="Arial" w:eastAsia="Times New Roman" w:hAnsi="Arial" w:cs="Arial"/>
          <w:lang w:val="en-GB" w:eastAsia="pt-PT"/>
        </w:rPr>
      </w:pPr>
      <w:r w:rsidRPr="00085ACB">
        <w:rPr>
          <w:rFonts w:ascii="Arial" w:eastAsia="Times New Roman" w:hAnsi="Arial" w:cs="Arial"/>
          <w:lang w:val="en-GB" w:eastAsia="pt-PT"/>
        </w:rPr>
        <w:t>Once the existence of a restrictive practice of competition is declared b</w:t>
      </w:r>
      <w:r w:rsidR="00085ACB" w:rsidRPr="00085ACB">
        <w:rPr>
          <w:rFonts w:ascii="Arial" w:eastAsia="Times New Roman" w:hAnsi="Arial" w:cs="Arial"/>
          <w:lang w:val="en-GB" w:eastAsia="pt-PT"/>
        </w:rPr>
        <w:t>y the AdC</w:t>
      </w:r>
      <w:r w:rsidRPr="00085ACB">
        <w:rPr>
          <w:rFonts w:ascii="Arial" w:eastAsia="Times New Roman" w:hAnsi="Arial" w:cs="Arial"/>
          <w:lang w:val="en-GB" w:eastAsia="pt-PT"/>
        </w:rPr>
        <w:t>, this decision may be accompanied by an admonition or the application of fines and other sanctions provided for in the law and, if necessary, the imposition of conduct or structural measures that are indispensable for the cessation of the restrictive practice of competition or its effects. This happened in this case, as it is not possible to exclude that the investigated behaviours are still ongoing.</w:t>
      </w:r>
    </w:p>
    <w:p w:rsidR="00605F40" w:rsidRDefault="00605F40" w:rsidP="00085ACB">
      <w:pPr>
        <w:spacing w:after="0" w:line="360" w:lineRule="auto"/>
        <w:jc w:val="both"/>
        <w:rPr>
          <w:rFonts w:ascii="Arial" w:eastAsia="Times New Roman" w:hAnsi="Arial" w:cs="Arial"/>
          <w:lang w:val="en-GB" w:eastAsia="pt-PT"/>
        </w:rPr>
      </w:pPr>
    </w:p>
    <w:p w:rsidR="000E3505" w:rsidRPr="00085ACB" w:rsidRDefault="006C2C4F" w:rsidP="006C2C4F">
      <w:pPr>
        <w:spacing w:after="0" w:line="360" w:lineRule="auto"/>
        <w:jc w:val="both"/>
        <w:rPr>
          <w:rFonts w:ascii="Arial" w:eastAsia="Times New Roman" w:hAnsi="Arial" w:cs="Arial"/>
          <w:lang w:val="en-GB" w:eastAsia="pt-PT"/>
        </w:rPr>
      </w:pPr>
      <w:r>
        <w:rPr>
          <w:rFonts w:ascii="Arial" w:eastAsia="Times New Roman" w:hAnsi="Arial" w:cs="Arial"/>
          <w:lang w:val="en-GB" w:eastAsia="pt-PT"/>
        </w:rPr>
        <w:t>December 21</w:t>
      </w:r>
      <w:r w:rsidR="00605F40">
        <w:rPr>
          <w:rFonts w:ascii="Arial" w:eastAsia="Times New Roman" w:hAnsi="Arial" w:cs="Arial"/>
          <w:lang w:val="en-GB" w:eastAsia="pt-PT"/>
        </w:rPr>
        <w:t>, 2020</w:t>
      </w:r>
      <w:bookmarkStart w:id="0" w:name="_GoBack"/>
      <w:bookmarkEnd w:id="0"/>
    </w:p>
    <w:p w:rsidR="00C70DCB" w:rsidRPr="00085ACB" w:rsidRDefault="00C70DCB" w:rsidP="00085ACB">
      <w:pPr>
        <w:spacing w:line="360" w:lineRule="auto"/>
        <w:rPr>
          <w:lang w:val="en-GB"/>
        </w:rPr>
      </w:pPr>
    </w:p>
    <w:sectPr w:rsidR="00C70DCB" w:rsidRPr="00085A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372" w:rsidRDefault="000A4372" w:rsidP="000A4372">
      <w:pPr>
        <w:spacing w:after="0" w:line="240" w:lineRule="auto"/>
      </w:pPr>
      <w:r>
        <w:separator/>
      </w:r>
    </w:p>
  </w:endnote>
  <w:endnote w:type="continuationSeparator" w:id="0">
    <w:p w:rsidR="000A4372" w:rsidRDefault="000A4372" w:rsidP="000A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372" w:rsidRDefault="000A4372" w:rsidP="000A4372">
      <w:pPr>
        <w:spacing w:after="0" w:line="240" w:lineRule="auto"/>
      </w:pPr>
      <w:r>
        <w:separator/>
      </w:r>
    </w:p>
  </w:footnote>
  <w:footnote w:type="continuationSeparator" w:id="0">
    <w:p w:rsidR="000A4372" w:rsidRDefault="000A4372" w:rsidP="000A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6B2"/>
    <w:multiLevelType w:val="hybridMultilevel"/>
    <w:tmpl w:val="FFD65A0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56E43E5A"/>
    <w:multiLevelType w:val="hybridMultilevel"/>
    <w:tmpl w:val="98CC371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DD33697"/>
    <w:multiLevelType w:val="hybridMultilevel"/>
    <w:tmpl w:val="75E0A18C"/>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05"/>
    <w:rsid w:val="00085ACB"/>
    <w:rsid w:val="000A4372"/>
    <w:rsid w:val="000E3505"/>
    <w:rsid w:val="00131E61"/>
    <w:rsid w:val="00210539"/>
    <w:rsid w:val="003036CA"/>
    <w:rsid w:val="00422E12"/>
    <w:rsid w:val="00605F40"/>
    <w:rsid w:val="006C2C4F"/>
    <w:rsid w:val="009D7423"/>
    <w:rsid w:val="00C70DCB"/>
    <w:rsid w:val="00C94987"/>
    <w:rsid w:val="00D6231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92595-B4B6-450A-92A4-D8ADF22A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505"/>
    <w:pPr>
      <w:spacing w:line="25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E3505"/>
    <w:rPr>
      <w:color w:val="0563C1" w:themeColor="hyperlink"/>
      <w:u w:val="single"/>
    </w:rPr>
  </w:style>
  <w:style w:type="paragraph" w:styleId="PargrafodaLista">
    <w:name w:val="List Paragraph"/>
    <w:basedOn w:val="Normal"/>
    <w:uiPriority w:val="34"/>
    <w:qFormat/>
    <w:rsid w:val="000E3505"/>
    <w:pPr>
      <w:ind w:left="720"/>
      <w:contextualSpacing/>
    </w:pPr>
  </w:style>
  <w:style w:type="paragraph" w:styleId="Cabealho">
    <w:name w:val="header"/>
    <w:basedOn w:val="Normal"/>
    <w:link w:val="CabealhoCarter"/>
    <w:uiPriority w:val="99"/>
    <w:unhideWhenUsed/>
    <w:rsid w:val="000A437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A4372"/>
  </w:style>
  <w:style w:type="paragraph" w:styleId="Rodap">
    <w:name w:val="footer"/>
    <w:basedOn w:val="Normal"/>
    <w:link w:val="RodapCarter"/>
    <w:uiPriority w:val="99"/>
    <w:unhideWhenUsed/>
    <w:rsid w:val="000A437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A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7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correncia.pt/vPT/Praticas_Proibidas/Praticas_Restritivas_da_Concorrencia/Documents/Linhas_de_Orienta%C3%A7%C3%A3o_Coimas_DEZ20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1254</Words>
  <Characters>6777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Duarte</dc:creator>
  <cp:keywords/>
  <dc:description/>
  <cp:lastModifiedBy>Teresa Duarte</cp:lastModifiedBy>
  <cp:revision>2</cp:revision>
  <dcterms:created xsi:type="dcterms:W3CDTF">2021-11-15T19:22:00Z</dcterms:created>
  <dcterms:modified xsi:type="dcterms:W3CDTF">2021-11-15T19:22:00Z</dcterms:modified>
</cp:coreProperties>
</file>